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C8" w:rsidRPr="004D0F25" w:rsidRDefault="00F84A94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>на проект постановления администрации Ханты-Мансийского района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Ханты-Мансийского района от 12 ноября 2018 года № 333 </w:t>
      </w:r>
    </w:p>
    <w:p w:rsidR="004952C8" w:rsidRPr="004D0F25" w:rsidRDefault="004952C8" w:rsidP="004952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D0F25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образования                                              </w:t>
      </w:r>
      <w:proofErr w:type="gramStart"/>
      <w:r w:rsidRPr="004D0F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0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F2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4D0F25">
        <w:rPr>
          <w:rFonts w:ascii="Times New Roman" w:hAnsi="Times New Roman" w:cs="Times New Roman"/>
          <w:sz w:val="28"/>
          <w:szCs w:val="28"/>
        </w:rPr>
        <w:t xml:space="preserve"> районе на 2019-2023 годы»</w:t>
      </w:r>
    </w:p>
    <w:p w:rsidR="004952C8" w:rsidRPr="004D0F25" w:rsidRDefault="004952C8" w:rsidP="004952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Default="004952C8" w:rsidP="004952C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74E2">
        <w:rPr>
          <w:rFonts w:ascii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</w:t>
      </w:r>
      <w:r w:rsidRPr="0079245D">
        <w:rPr>
          <w:rFonts w:ascii="Times New Roman" w:hAnsi="Times New Roman" w:cs="Times New Roman"/>
          <w:sz w:val="28"/>
          <w:szCs w:val="28"/>
        </w:rPr>
        <w:t xml:space="preserve">соответствует объему </w:t>
      </w:r>
      <w:r w:rsidRPr="006774E2">
        <w:rPr>
          <w:rFonts w:ascii="Times New Roman" w:hAnsi="Times New Roman" w:cs="Times New Roman"/>
          <w:sz w:val="28"/>
          <w:szCs w:val="28"/>
        </w:rPr>
        <w:t>бюджетных ассигнований,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решением Думы </w:t>
      </w:r>
      <w:r w:rsidRPr="006774E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Pr="00717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05.03.2021 № 713 «О внесении изменений в решение Думы Ханты-Мансийского района от 25.12.2020 № 679 «О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17C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 год и плановый период                                     2022 и 2023 годов»</w:t>
      </w:r>
      <w:r>
        <w:rPr>
          <w:rFonts w:ascii="Times New Roman" w:hAnsi="Times New Roman" w:cs="Times New Roman"/>
          <w:sz w:val="28"/>
          <w:szCs w:val="28"/>
        </w:rPr>
        <w:t xml:space="preserve">, с учетом изменений </w:t>
      </w:r>
      <w:r w:rsidRPr="00224279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279">
        <w:rPr>
          <w:rFonts w:ascii="Times New Roman" w:eastAsia="Calibri" w:hAnsi="Times New Roman" w:cs="Times New Roman"/>
          <w:sz w:val="28"/>
          <w:szCs w:val="28"/>
        </w:rPr>
        <w:t>основании статьи 14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25.12.2020 № 679 «О бюджете Ханты-Мансийского района на 2021 год и плановый период                                     2022 и 2023 годов»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C8" w:rsidRPr="0049273C" w:rsidRDefault="004952C8" w:rsidP="004952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на 2021 год в размере 146 407,4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федерального бюджета – 43 045,9 тыс. рублей; за счет средств окружного бюджета – 637,8 тыс. рублей; за счет средств местного бюджета – 102 723,7 тыс. рублей, </w:t>
      </w:r>
      <w:r w:rsidRPr="004927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скорректировав объем финансирования по мероприятиям: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</w:t>
      </w:r>
      <w:r w:rsidRPr="000026F1">
        <w:rPr>
          <w:rFonts w:ascii="Times New Roman" w:hAnsi="Times New Roman" w:cs="Times New Roman"/>
          <w:sz w:val="28"/>
          <w:szCs w:val="28"/>
        </w:rPr>
        <w:tab/>
        <w:t>Основное мероприятие: Проведение капитальных ремонтов зданий, сооружений (показатель 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на </w:t>
      </w:r>
      <w:r w:rsidRPr="000026F1">
        <w:rPr>
          <w:rFonts w:ascii="Times New Roman" w:hAnsi="Times New Roman" w:cs="Times New Roman"/>
          <w:sz w:val="28"/>
          <w:szCs w:val="28"/>
        </w:rPr>
        <w:t>56 318,</w:t>
      </w:r>
      <w:r w:rsidRPr="00C34948">
        <w:rPr>
          <w:rFonts w:ascii="Times New Roman" w:hAnsi="Times New Roman" w:cs="Times New Roman"/>
          <w:sz w:val="28"/>
          <w:szCs w:val="28"/>
        </w:rPr>
        <w:t>8</w:t>
      </w:r>
      <w:r w:rsidRPr="00C34948">
        <w:rPr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рублей,</w:t>
      </w:r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за счет средств Ханты-Мансийского района,  </w:t>
      </w:r>
      <w:r w:rsidRPr="000026F1">
        <w:rPr>
          <w:rFonts w:ascii="Times New Roman" w:hAnsi="Times New Roman" w:cs="Times New Roman"/>
          <w:sz w:val="28"/>
          <w:szCs w:val="28"/>
        </w:rPr>
        <w:t>в том числе: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>МКОУ ХМР  «СОШ п. Сибирский» – 18 818,2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 xml:space="preserve">МКОУ ХМР «СОШ им. Героя Советского Союза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В.Ф.Чухарева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» – 23 000,0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 xml:space="preserve">МКОУ ХМР «СОШ п.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26F1">
        <w:rPr>
          <w:rFonts w:ascii="Times New Roman" w:hAnsi="Times New Roman" w:cs="Times New Roman"/>
          <w:sz w:val="28"/>
          <w:szCs w:val="28"/>
        </w:rPr>
        <w:t>– 700,0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>МКОУ ХМР «ООШ с. Тюли» – 1 603,2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 xml:space="preserve">МБОУ ХМР «СОШ п.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26F1">
        <w:rPr>
          <w:rFonts w:ascii="Times New Roman" w:hAnsi="Times New Roman" w:cs="Times New Roman"/>
          <w:sz w:val="28"/>
          <w:szCs w:val="28"/>
        </w:rPr>
        <w:t>– 953,6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6F1">
        <w:rPr>
          <w:rFonts w:ascii="Times New Roman" w:hAnsi="Times New Roman" w:cs="Times New Roman"/>
          <w:sz w:val="28"/>
          <w:szCs w:val="28"/>
        </w:rPr>
        <w:t xml:space="preserve">МКОУ ХМР «СОШ с. </w:t>
      </w:r>
      <w:proofErr w:type="spellStart"/>
      <w:r w:rsidRPr="000026F1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0026F1">
        <w:rPr>
          <w:rFonts w:ascii="Times New Roman" w:hAnsi="Times New Roman" w:cs="Times New Roman"/>
          <w:sz w:val="28"/>
          <w:szCs w:val="28"/>
        </w:rPr>
        <w:t>» – 5 405,6</w:t>
      </w:r>
      <w:r w:rsidRPr="00C349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2.1.1.10. МКОУ ХМР «СОШ с. Елизарово» – 2 838,2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2.1.1.11. МКОУ ХМР «СОШ д. Елизарово» – 3 000,0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2.2.</w:t>
      </w:r>
      <w:r w:rsidRPr="000026F1">
        <w:rPr>
          <w:rFonts w:ascii="Times New Roman" w:hAnsi="Times New Roman" w:cs="Times New Roman"/>
          <w:sz w:val="28"/>
          <w:szCs w:val="28"/>
        </w:rPr>
        <w:tab/>
        <w:t>Основное мероприятие: Проведение мероприятий по текущему ремонту образовательных учреждений (показатель 1)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                          на</w:t>
      </w:r>
      <w:r w:rsidRPr="000026F1">
        <w:rPr>
          <w:rFonts w:ascii="Times New Roman" w:hAnsi="Times New Roman" w:cs="Times New Roman"/>
          <w:sz w:val="28"/>
          <w:szCs w:val="28"/>
        </w:rPr>
        <w:t xml:space="preserve"> 2 420,6</w:t>
      </w:r>
      <w:r w:rsidRPr="006F0423">
        <w:rPr>
          <w:rFonts w:ascii="Times New Roman" w:hAnsi="Times New Roman" w:cs="Times New Roman"/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</w:t>
      </w:r>
      <w:r w:rsidRPr="000026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Ханты-Мансийского района, </w:t>
      </w:r>
      <w:r w:rsidRPr="000026F1">
        <w:rPr>
          <w:rFonts w:ascii="Times New Roman" w:hAnsi="Times New Roman" w:cs="Times New Roman"/>
          <w:sz w:val="28"/>
          <w:szCs w:val="28"/>
        </w:rPr>
        <w:t>в том числе: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0026F1">
        <w:rPr>
          <w:rFonts w:ascii="Times New Roman" w:hAnsi="Times New Roman" w:cs="Times New Roman"/>
          <w:sz w:val="28"/>
          <w:szCs w:val="28"/>
        </w:rPr>
        <w:t>2.2.1.</w:t>
      </w:r>
      <w:r w:rsidRPr="000026F1">
        <w:rPr>
          <w:rFonts w:ascii="Times New Roman" w:hAnsi="Times New Roman" w:cs="Times New Roman"/>
          <w:sz w:val="28"/>
          <w:szCs w:val="28"/>
        </w:rPr>
        <w:tab/>
        <w:t xml:space="preserve">Школы Ханты-Мансийского района (расходы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26F1">
        <w:rPr>
          <w:rFonts w:ascii="Times New Roman" w:hAnsi="Times New Roman" w:cs="Times New Roman"/>
          <w:sz w:val="28"/>
          <w:szCs w:val="28"/>
        </w:rPr>
        <w:t>на косметический ремонт по 24 образовательным учреждениям на новый учебный 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6F1">
        <w:rPr>
          <w:rFonts w:ascii="Times New Roman" w:hAnsi="Times New Roman" w:cs="Times New Roman"/>
          <w:sz w:val="28"/>
          <w:szCs w:val="28"/>
        </w:rPr>
        <w:t xml:space="preserve"> – 1 829,2</w:t>
      </w:r>
      <w:r w:rsidRPr="006F0423">
        <w:rPr>
          <w:rFonts w:ascii="Times New Roman" w:hAnsi="Times New Roman" w:cs="Times New Roman"/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0026F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26F1">
        <w:rPr>
          <w:rFonts w:ascii="Times New Roman" w:hAnsi="Times New Roman" w:cs="Times New Roman"/>
          <w:sz w:val="28"/>
          <w:szCs w:val="28"/>
        </w:rPr>
        <w:t>2.2.2.</w:t>
      </w:r>
      <w:r w:rsidRPr="000026F1">
        <w:rPr>
          <w:rFonts w:ascii="Times New Roman" w:hAnsi="Times New Roman" w:cs="Times New Roman"/>
          <w:sz w:val="28"/>
          <w:szCs w:val="28"/>
        </w:rPr>
        <w:tab/>
        <w:t>Дошкольные учреждения Ханты-Мансийского района (расходы на косметический ремонт по 13 образовательным учреждениям на новый учебный 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26F1">
        <w:rPr>
          <w:rFonts w:ascii="Times New Roman" w:hAnsi="Times New Roman" w:cs="Times New Roman"/>
          <w:sz w:val="28"/>
          <w:szCs w:val="28"/>
        </w:rPr>
        <w:t xml:space="preserve"> – 591,4</w:t>
      </w:r>
      <w:r w:rsidRPr="006F0423">
        <w:rPr>
          <w:rFonts w:ascii="Times New Roman" w:hAnsi="Times New Roman" w:cs="Times New Roman"/>
          <w:sz w:val="28"/>
          <w:szCs w:val="28"/>
        </w:rPr>
        <w:t xml:space="preserve"> </w:t>
      </w:r>
      <w:r w:rsidRPr="00C3494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2C8" w:rsidRPr="00D31146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46">
        <w:rPr>
          <w:rFonts w:ascii="Times New Roman" w:hAnsi="Times New Roman" w:cs="Times New Roman"/>
          <w:sz w:val="28"/>
          <w:szCs w:val="28"/>
        </w:rPr>
        <w:t>«2.3.</w:t>
      </w:r>
      <w:r w:rsidRPr="00D31146">
        <w:rPr>
          <w:rFonts w:ascii="Times New Roman" w:hAnsi="Times New Roman" w:cs="Times New Roman"/>
          <w:sz w:val="28"/>
          <w:szCs w:val="28"/>
        </w:rPr>
        <w:tab/>
        <w:t xml:space="preserve">Основное мероприятие: Укрепление пожарной безопасности                                                                 (показатель 1)» увеличить на 1 825,7 тыс. рублей,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31146">
        <w:rPr>
          <w:rFonts w:ascii="Times New Roman" w:hAnsi="Times New Roman" w:cs="Times New Roman"/>
          <w:sz w:val="28"/>
          <w:szCs w:val="28"/>
        </w:rPr>
        <w:t>Ханты-Мансийского района, в том числе:</w:t>
      </w:r>
    </w:p>
    <w:p w:rsidR="004952C8" w:rsidRPr="00D31146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46">
        <w:rPr>
          <w:rFonts w:ascii="Times New Roman" w:hAnsi="Times New Roman" w:cs="Times New Roman"/>
          <w:sz w:val="28"/>
          <w:szCs w:val="28"/>
        </w:rPr>
        <w:t>«2.3.1.</w:t>
      </w:r>
      <w:r w:rsidRPr="00D31146">
        <w:rPr>
          <w:rFonts w:ascii="Times New Roman" w:hAnsi="Times New Roman" w:cs="Times New Roman"/>
          <w:sz w:val="28"/>
          <w:szCs w:val="28"/>
        </w:rPr>
        <w:tab/>
        <w:t>Школы Ханты-Мансийского района»                                               – 1 045,9 тыс. рублей;</w:t>
      </w:r>
    </w:p>
    <w:p w:rsidR="004952C8" w:rsidRPr="00DD339F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146">
        <w:rPr>
          <w:rFonts w:ascii="Times New Roman" w:hAnsi="Times New Roman" w:cs="Times New Roman"/>
          <w:sz w:val="28"/>
          <w:szCs w:val="28"/>
        </w:rPr>
        <w:t>«2.3.2.</w:t>
      </w:r>
      <w:r w:rsidRPr="00D31146">
        <w:rPr>
          <w:rFonts w:ascii="Times New Roman" w:hAnsi="Times New Roman" w:cs="Times New Roman"/>
          <w:sz w:val="28"/>
          <w:szCs w:val="28"/>
        </w:rPr>
        <w:tab/>
        <w:t xml:space="preserve">Дошкольные учреждения Ханты-Мансийского района»                   </w:t>
      </w:r>
      <w:r w:rsidRPr="00DD339F">
        <w:rPr>
          <w:rFonts w:ascii="Times New Roman" w:hAnsi="Times New Roman" w:cs="Times New Roman"/>
          <w:sz w:val="28"/>
          <w:szCs w:val="28"/>
        </w:rPr>
        <w:t>– 779,8 тыс. рублей;</w:t>
      </w:r>
    </w:p>
    <w:p w:rsidR="004952C8" w:rsidRPr="00DD339F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>«2.4.</w:t>
      </w:r>
      <w:r w:rsidRPr="00DD339F">
        <w:rPr>
          <w:rFonts w:ascii="Times New Roman" w:hAnsi="Times New Roman" w:cs="Times New Roman"/>
          <w:sz w:val="28"/>
          <w:szCs w:val="28"/>
        </w:rPr>
        <w:tab/>
        <w:t>Основное мероприятие: Укрепление санитарн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эпидемиологической безопасности (показатель 1)» увеличить                                 на 2 604,2 тыс. рублей за счет средств Ханты-Мансийского района, в том числе: по мероприятию «2.4.1. Школы Ханты-Мансийского района»                       –</w:t>
      </w:r>
      <w:r w:rsidRPr="006C209B">
        <w:rPr>
          <w:rFonts w:ascii="Times New Roman" w:hAnsi="Times New Roman" w:cs="Times New Roman"/>
          <w:sz w:val="28"/>
          <w:szCs w:val="28"/>
        </w:rPr>
        <w:t xml:space="preserve"> </w:t>
      </w:r>
      <w:r w:rsidRPr="00DD339F">
        <w:rPr>
          <w:rFonts w:ascii="Times New Roman" w:hAnsi="Times New Roman" w:cs="Times New Roman"/>
          <w:sz w:val="28"/>
          <w:szCs w:val="28"/>
        </w:rPr>
        <w:t>2 604,2</w:t>
      </w:r>
      <w:r w:rsidRPr="006C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D339F">
        <w:rPr>
          <w:rFonts w:ascii="Times New Roman" w:hAnsi="Times New Roman" w:cs="Times New Roman"/>
          <w:sz w:val="28"/>
          <w:szCs w:val="28"/>
        </w:rPr>
        <w:t>;</w:t>
      </w:r>
    </w:p>
    <w:p w:rsidR="004952C8" w:rsidRPr="00DD339F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>«2.7.</w:t>
      </w:r>
      <w:r w:rsidRPr="00DD339F">
        <w:rPr>
          <w:rFonts w:ascii="Times New Roman" w:hAnsi="Times New Roman" w:cs="Times New Roman"/>
          <w:sz w:val="28"/>
          <w:szCs w:val="28"/>
        </w:rPr>
        <w:tab/>
        <w:t>Основное мероприятие: Антитеррористическая защищенность                                                                         (показатель 1)» увеличить на 1 796,1 тыс. рублей за счет                               средств Ханты-Мансийского района: по мероприятию «2.7.1. Школы Ханты-Мансийского района» – 1 796,1 тыс. рублей;</w:t>
      </w:r>
    </w:p>
    <w:p w:rsidR="004952C8" w:rsidRPr="00935C3C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>«3.1.</w:t>
      </w:r>
      <w:r w:rsidRPr="00DD339F">
        <w:rPr>
          <w:rFonts w:ascii="Times New Roman" w:hAnsi="Times New Roman" w:cs="Times New Roman"/>
          <w:sz w:val="28"/>
          <w:szCs w:val="28"/>
        </w:rPr>
        <w:tab/>
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</w:t>
      </w:r>
      <w:r w:rsidRPr="00935C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(показатель</w:t>
      </w:r>
      <w:r w:rsidRPr="00935C3C">
        <w:rPr>
          <w:rFonts w:ascii="Times New Roman" w:hAnsi="Times New Roman" w:cs="Times New Roman"/>
          <w:sz w:val="28"/>
          <w:szCs w:val="28"/>
        </w:rPr>
        <w:t xml:space="preserve"> 1)» увеличить на 13 733,9 тыс. рублей,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5C3C">
        <w:rPr>
          <w:rFonts w:ascii="Times New Roman" w:hAnsi="Times New Roman" w:cs="Times New Roman"/>
          <w:sz w:val="28"/>
          <w:szCs w:val="28"/>
        </w:rPr>
        <w:t>Ханты-Мансийского района, в том числе:</w:t>
      </w:r>
    </w:p>
    <w:p w:rsidR="004952C8" w:rsidRPr="00935C3C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«3.1.1. Разработка проектно-сметной документации на строительство плоскостных сооружений МКОУ ХМР «СОШ п. Сибирский»                              </w:t>
      </w:r>
      <w:r w:rsidRPr="00935C3C">
        <w:rPr>
          <w:rFonts w:ascii="Times New Roman" w:hAnsi="Times New Roman" w:cs="Times New Roman"/>
          <w:sz w:val="28"/>
          <w:szCs w:val="28"/>
        </w:rPr>
        <w:t>–</w:t>
      </w:r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10 733,9 </w:t>
      </w:r>
      <w:r w:rsidRPr="00935C3C">
        <w:rPr>
          <w:rFonts w:ascii="Times New Roman" w:hAnsi="Times New Roman" w:cs="Times New Roman"/>
          <w:sz w:val="28"/>
          <w:szCs w:val="28"/>
        </w:rPr>
        <w:t>тыс. рублей;</w:t>
      </w:r>
    </w:p>
    <w:p w:rsidR="004952C8" w:rsidRPr="00935C3C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«3.1.2. Корректировка проектно-сметной документации по объекту «Реконструкция школы с </w:t>
      </w:r>
      <w:proofErr w:type="spellStart"/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пристроем</w:t>
      </w:r>
      <w:proofErr w:type="spellEnd"/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п. </w:t>
      </w:r>
      <w:proofErr w:type="spellStart"/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Красноленинский</w:t>
      </w:r>
      <w:proofErr w:type="spellEnd"/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</w:t>
      </w:r>
      <w:r w:rsidRPr="00935C3C">
        <w:rPr>
          <w:rFonts w:ascii="Times New Roman" w:hAnsi="Times New Roman" w:cs="Times New Roman"/>
          <w:sz w:val="28"/>
          <w:szCs w:val="28"/>
        </w:rPr>
        <w:t>–</w:t>
      </w:r>
      <w:r w:rsidRPr="00935C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3 000,0</w:t>
      </w:r>
      <w:r w:rsidRPr="00935C3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52C8" w:rsidRPr="00DD339F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>«3.2.</w:t>
      </w:r>
      <w:r w:rsidRPr="00DD339F">
        <w:rPr>
          <w:rFonts w:ascii="Times New Roman" w:hAnsi="Times New Roman" w:cs="Times New Roman"/>
          <w:sz w:val="28"/>
          <w:szCs w:val="28"/>
        </w:rPr>
        <w:tab/>
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70% детей от 3 до 7 лет                                                                                 (показатель 1, 13, 14, 15)» увеличить на 7 891,1 тыс. рублей за счет средств Ханты-Мансийского района: по мероприятию «3.2.1.</w:t>
      </w:r>
      <w:r w:rsidRPr="00DD339F">
        <w:rPr>
          <w:rFonts w:ascii="Times New Roman" w:hAnsi="Times New Roman" w:cs="Times New Roman"/>
          <w:sz w:val="28"/>
          <w:szCs w:val="28"/>
        </w:rPr>
        <w:tab/>
        <w:t xml:space="preserve">Реконструкция школы с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пристроем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для размещения групп детского сада п.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>»                             – 7 891,1 тыс. рублей;</w:t>
      </w:r>
      <w:r w:rsidRPr="00DD339F">
        <w:t xml:space="preserve"> </w:t>
      </w:r>
    </w:p>
    <w:p w:rsidR="004952C8" w:rsidRPr="009D0560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«3.3. Основное мероприятие: Укрепление материально-технической</w:t>
      </w:r>
      <w:r w:rsidRPr="009D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базы образовательных учреждений (показатель 1)» </w:t>
      </w:r>
      <w:r w:rsidRPr="009D0560">
        <w:rPr>
          <w:rFonts w:ascii="Times New Roman" w:hAnsi="Times New Roman" w:cs="Times New Roman"/>
          <w:sz w:val="28"/>
          <w:szCs w:val="28"/>
        </w:rPr>
        <w:t xml:space="preserve">увеличить                                  </w:t>
      </w:r>
      <w:r w:rsidRPr="009D056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9D056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6 963,6</w:t>
      </w:r>
      <w:r w:rsidRPr="009D0560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Ханты-Мансийского района,                         в том числе:</w:t>
      </w:r>
    </w:p>
    <w:p w:rsidR="004952C8" w:rsidRPr="009D4E5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51">
        <w:rPr>
          <w:rFonts w:ascii="Times New Roman" w:hAnsi="Times New Roman" w:cs="Times New Roman"/>
          <w:sz w:val="28"/>
          <w:szCs w:val="28"/>
        </w:rPr>
        <w:t>«3.3.1.</w:t>
      </w:r>
      <w:r w:rsidRPr="009D4E51">
        <w:rPr>
          <w:rFonts w:ascii="Times New Roman" w:hAnsi="Times New Roman" w:cs="Times New Roman"/>
          <w:sz w:val="28"/>
          <w:szCs w:val="28"/>
        </w:rPr>
        <w:tab/>
        <w:t>Приобретение и монтаж игрового оборудования                             в школах» – 4 071,3 тыс. рублей;</w:t>
      </w:r>
    </w:p>
    <w:p w:rsidR="004952C8" w:rsidRPr="009D4E5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51">
        <w:rPr>
          <w:rFonts w:ascii="Times New Roman" w:hAnsi="Times New Roman" w:cs="Times New Roman"/>
          <w:sz w:val="28"/>
          <w:szCs w:val="28"/>
        </w:rPr>
        <w:t>«3.3.2.</w:t>
      </w:r>
      <w:r w:rsidRPr="009D4E51">
        <w:rPr>
          <w:rFonts w:ascii="Times New Roman" w:hAnsi="Times New Roman" w:cs="Times New Roman"/>
          <w:sz w:val="28"/>
          <w:szCs w:val="28"/>
        </w:rPr>
        <w:tab/>
        <w:t>Приобретение и монтаж игрового оборудования                           в дошкольных учреждениях» – 392,3 тыс. рублей;</w:t>
      </w:r>
    </w:p>
    <w:p w:rsidR="004952C8" w:rsidRPr="009D0560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51">
        <w:rPr>
          <w:rFonts w:ascii="Times New Roman" w:hAnsi="Times New Roman" w:cs="Times New Roman"/>
          <w:sz w:val="28"/>
          <w:szCs w:val="28"/>
        </w:rPr>
        <w:t xml:space="preserve">«3.3.4. Улучшение материально-технической базы                                   МКОУ ХМР «СОШ с. </w:t>
      </w:r>
      <w:proofErr w:type="spellStart"/>
      <w:r w:rsidRPr="009D4E51">
        <w:rPr>
          <w:rFonts w:ascii="Times New Roman" w:hAnsi="Times New Roman" w:cs="Times New Roman"/>
          <w:sz w:val="28"/>
          <w:szCs w:val="28"/>
        </w:rPr>
        <w:t>Селиярово</w:t>
      </w:r>
      <w:proofErr w:type="spellEnd"/>
      <w:r w:rsidRPr="009D4E51">
        <w:rPr>
          <w:rFonts w:ascii="Times New Roman" w:hAnsi="Times New Roman" w:cs="Times New Roman"/>
          <w:sz w:val="28"/>
          <w:szCs w:val="28"/>
        </w:rPr>
        <w:t>» – 2 500,0 тыс. рублей;</w:t>
      </w:r>
    </w:p>
    <w:p w:rsidR="004952C8" w:rsidRPr="00860A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«4.1. Основное мероприятие: </w:t>
      </w:r>
      <w:proofErr w:type="gramStart"/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основных общеобразовательных программ в образовательных организациях, расположенных на территории Ханты-Мансийского района   (показатели 1, 2, 3, 4, 5, 9, 10, 11, 12, 13, 14, 15)» </w:t>
      </w:r>
      <w:r w:rsidRPr="00860AC8">
        <w:rPr>
          <w:rFonts w:ascii="Times New Roman" w:hAnsi="Times New Roman" w:cs="Times New Roman"/>
          <w:sz w:val="28"/>
          <w:szCs w:val="28"/>
        </w:rPr>
        <w:t>увеличить на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43 683,8</w:t>
      </w:r>
      <w:r w:rsidRPr="00860AC8">
        <w:rPr>
          <w:rFonts w:ascii="Times New Roman" w:hAnsi="Times New Roman" w:cs="Times New Roman"/>
          <w:sz w:val="28"/>
          <w:szCs w:val="28"/>
        </w:rPr>
        <w:t xml:space="preserve"> тыс. рублей                    за счет средств федерального бюджета – 43 045,9 тыс. рублей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60AC8">
        <w:rPr>
          <w:rFonts w:ascii="Times New Roman" w:hAnsi="Times New Roman" w:cs="Times New Roman"/>
          <w:sz w:val="28"/>
          <w:szCs w:val="28"/>
        </w:rPr>
        <w:t>за счет средств окружного бюджета – 637,8 тыс. рублей,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  <w:proofErr w:type="gramEnd"/>
    </w:p>
    <w:p w:rsidR="004952C8" w:rsidRPr="00DD339F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«4.1.4.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Иные межбюджетные трансферты на ежемесячное денежное вознаграждение за классное руководство педагогическим </w:t>
      </w:r>
      <w:r w:rsidRPr="00DD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работникам государственных и муниципальных общеобразовательных организаций» – 40 622,4</w:t>
      </w:r>
      <w:r w:rsidRPr="00DD339F">
        <w:rPr>
          <w:rFonts w:ascii="Times New Roman" w:hAnsi="Times New Roman" w:cs="Times New Roman"/>
          <w:sz w:val="28"/>
          <w:szCs w:val="28"/>
        </w:rPr>
        <w:t xml:space="preserve"> тыс. рублей за счет средств федерального бюджета – 40 622,4 тыс. рублей;</w:t>
      </w:r>
    </w:p>
    <w:p w:rsidR="004952C8" w:rsidRPr="00860A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D339F">
        <w:rPr>
          <w:rFonts w:ascii="Times New Roman" w:hAnsi="Times New Roman" w:cs="Times New Roman"/>
          <w:sz w:val="28"/>
          <w:szCs w:val="28"/>
        </w:rPr>
        <w:t>«</w:t>
      </w:r>
      <w:r w:rsidRPr="00DD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4.1.5.</w:t>
      </w:r>
      <w:r w:rsidRPr="00DD3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Организация бесплатного горячего питания обучающихся, получающих начальное общее образование                                         в государственных и муниципальных образовательных организациях»                            – 3 061,4</w:t>
      </w:r>
      <w:r w:rsidRPr="00DD339F">
        <w:rPr>
          <w:rFonts w:ascii="Times New Roman" w:hAnsi="Times New Roman" w:cs="Times New Roman"/>
          <w:sz w:val="28"/>
          <w:szCs w:val="28"/>
        </w:rPr>
        <w:t xml:space="preserve"> тыс. рублей: за счет средств федерального бюджета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– 2 423,5 тыс. рублей, </w:t>
      </w:r>
      <w:r w:rsidRPr="00DD339F">
        <w:rPr>
          <w:rFonts w:ascii="Times New Roman" w:hAnsi="Times New Roman" w:cs="Times New Roman"/>
          <w:sz w:val="28"/>
          <w:szCs w:val="28"/>
        </w:rPr>
        <w:t>за счет средств окружного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637,8 тыс. рублей;</w:t>
      </w:r>
    </w:p>
    <w:p w:rsidR="004952C8" w:rsidRPr="00860A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«4.2.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13, 14, 15)» </w:t>
      </w:r>
      <w:r w:rsidRPr="00860AC8">
        <w:rPr>
          <w:rFonts w:ascii="Times New Roman" w:hAnsi="Times New Roman" w:cs="Times New Roman"/>
          <w:sz w:val="28"/>
          <w:szCs w:val="28"/>
        </w:rPr>
        <w:t>увеличить на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1 545,2</w:t>
      </w:r>
      <w:r w:rsidRPr="00860AC8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района;</w:t>
      </w:r>
    </w:p>
    <w:p w:rsidR="004952C8" w:rsidRPr="00860A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«4.3.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Основное мероприятие: Создание условий для удовлетворения потребности населения района в оказании услуг                                                          в учреждениях общего среднего образования                                                                              (показатель 1, 2, 3, 4)» </w:t>
      </w:r>
      <w:r w:rsidRPr="009D4E51">
        <w:rPr>
          <w:rFonts w:ascii="Times New Roman" w:hAnsi="Times New Roman" w:cs="Times New Roman"/>
          <w:sz w:val="28"/>
          <w:szCs w:val="28"/>
        </w:rPr>
        <w:t>увеличить на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3 545,3</w:t>
      </w:r>
      <w:r w:rsidRPr="009D4E51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района;</w:t>
      </w:r>
    </w:p>
    <w:p w:rsidR="004952C8" w:rsidRPr="009D4E5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«4.4.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Основное мероприятие: Создание условий для удовлетворения потребностей населения района в оказании услуг в сфере          дополнительного образования (содержание учреждения)                                                            (показатели 6, 7, 8)» </w:t>
      </w:r>
      <w:r w:rsidRPr="009D4E51">
        <w:rPr>
          <w:rFonts w:ascii="Times New Roman" w:hAnsi="Times New Roman" w:cs="Times New Roman"/>
          <w:sz w:val="28"/>
          <w:szCs w:val="28"/>
        </w:rPr>
        <w:t>увеличить на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480,0</w:t>
      </w:r>
      <w:r w:rsidRPr="009D4E51">
        <w:rPr>
          <w:rFonts w:ascii="Times New Roman" w:hAnsi="Times New Roman" w:cs="Times New Roman"/>
          <w:sz w:val="28"/>
          <w:szCs w:val="28"/>
        </w:rPr>
        <w:t xml:space="preserve"> тыс. рублей за счет средств           Ханты-Мансийского района, в том числе:</w:t>
      </w:r>
    </w:p>
    <w:p w:rsidR="004952C8" w:rsidRPr="00157F62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«4.4.1. </w:t>
      </w:r>
      <w:r w:rsidRPr="009D4E51">
        <w:rPr>
          <w:rFonts w:ascii="Times New Roman" w:hAnsi="Times New Roman" w:cs="Times New Roman"/>
          <w:sz w:val="28"/>
          <w:szCs w:val="28"/>
        </w:rPr>
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D4E51">
        <w:rPr>
          <w:rFonts w:ascii="Times New Roman" w:hAnsi="Times New Roman" w:cs="Times New Roman"/>
          <w:sz w:val="28"/>
          <w:szCs w:val="28"/>
        </w:rPr>
        <w:t>– 480 тыс. рублей;</w:t>
      </w:r>
    </w:p>
    <w:p w:rsidR="004952C8" w:rsidRPr="009D4E51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«5.4.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Основное мероприятие: Содействие профориентации                            и карьерным устремлениям молодежи (показатель 16)»</w:t>
      </w:r>
      <w:r w:rsidRPr="009D4E51">
        <w:rPr>
          <w:rFonts w:ascii="Times New Roman" w:hAnsi="Times New Roman" w:cs="Times New Roman"/>
          <w:sz w:val="28"/>
          <w:szCs w:val="28"/>
        </w:rPr>
        <w:t xml:space="preserve"> увеличить                          на</w:t>
      </w:r>
      <w:r w:rsidRPr="009D4E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3 599,1</w:t>
      </w:r>
      <w:r w:rsidRPr="009D4E51">
        <w:rPr>
          <w:rFonts w:ascii="Times New Roman" w:hAnsi="Times New Roman" w:cs="Times New Roman"/>
          <w:sz w:val="28"/>
          <w:szCs w:val="28"/>
        </w:rPr>
        <w:t xml:space="preserve"> тыс. рублей за счет средств Ханты-Мансийского района,                           в том числе:</w:t>
      </w:r>
    </w:p>
    <w:p w:rsidR="004952C8" w:rsidRPr="00E509AC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AC">
        <w:rPr>
          <w:rFonts w:ascii="Times New Roman" w:hAnsi="Times New Roman" w:cs="Times New Roman"/>
          <w:sz w:val="28"/>
          <w:szCs w:val="28"/>
        </w:rPr>
        <w:t>«5.4.1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9AC">
        <w:rPr>
          <w:rFonts w:ascii="Times New Roman" w:hAnsi="Times New Roman" w:cs="Times New Roman"/>
          <w:sz w:val="28"/>
          <w:szCs w:val="28"/>
        </w:rPr>
        <w:t>Организация экологических трудовых отрядов»                                  – 3 599,1 тыс. рублей.</w:t>
      </w:r>
      <w:r w:rsidRPr="00E509AC">
        <w:rPr>
          <w:rFonts w:ascii="Times New Roman" w:hAnsi="Times New Roman" w:cs="Times New Roman"/>
          <w:sz w:val="28"/>
          <w:szCs w:val="28"/>
        </w:rPr>
        <w:tab/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9AC">
        <w:rPr>
          <w:rFonts w:ascii="Times New Roman" w:hAnsi="Times New Roman" w:cs="Times New Roman"/>
          <w:sz w:val="28"/>
          <w:szCs w:val="28"/>
        </w:rPr>
        <w:t>Проектом программы предлагается скорректировать бюджетные</w:t>
      </w:r>
      <w:r w:rsidRPr="008573F1">
        <w:rPr>
          <w:rFonts w:ascii="Times New Roman" w:hAnsi="Times New Roman" w:cs="Times New Roman"/>
          <w:sz w:val="28"/>
          <w:szCs w:val="28"/>
        </w:rPr>
        <w:t xml:space="preserve"> ассигнования на 2022 и 2023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573F1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Pr="008573F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 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(показатели 1, 2, 3, 4, 5, 9, 10, 11, 12, 13, 14, 15)»</w:t>
      </w:r>
      <w:r w:rsidRPr="008573F1">
        <w:rPr>
          <w:rFonts w:ascii="Times New Roman" w:hAnsi="Times New Roman" w:cs="Times New Roman"/>
          <w:sz w:val="28"/>
          <w:szCs w:val="28"/>
        </w:rPr>
        <w:t>:</w:t>
      </w:r>
    </w:p>
    <w:p w:rsidR="004952C8" w:rsidRPr="007C0D89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3F1">
        <w:rPr>
          <w:rFonts w:ascii="Times New Roman" w:hAnsi="Times New Roman" w:cs="Times New Roman"/>
          <w:sz w:val="28"/>
          <w:szCs w:val="28"/>
        </w:rPr>
        <w:t>4.1.3.</w:t>
      </w:r>
      <w:r w:rsidRPr="008573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573F1">
        <w:rPr>
          <w:rFonts w:ascii="Times New Roman" w:hAnsi="Times New Roman" w:cs="Times New Roman"/>
          <w:sz w:val="28"/>
          <w:szCs w:val="28"/>
        </w:rPr>
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» увеличить за счет средств окружного бюджета: </w:t>
      </w:r>
      <w:r w:rsidRPr="007C0D89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2 998,1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рублей, на 2023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3 225,6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4952C8" w:rsidRPr="007C0D89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«4.1.4.</w:t>
      </w:r>
      <w:r w:rsidRPr="00860A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организаций» </w:t>
      </w:r>
      <w:r>
        <w:rPr>
          <w:rFonts w:ascii="Times New Roman" w:hAnsi="Times New Roman" w:cs="Times New Roman"/>
          <w:sz w:val="28"/>
          <w:szCs w:val="28"/>
        </w:rPr>
        <w:t xml:space="preserve">увеличить за счет средств федерального бюджета:                            </w:t>
      </w:r>
      <w:r w:rsidRPr="007C0D89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40 622,4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рублей, на 2023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40 622,4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952C8" w:rsidRPr="007C0D89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D89">
        <w:rPr>
          <w:rFonts w:ascii="Times New Roman" w:hAnsi="Times New Roman" w:cs="Times New Roman"/>
          <w:sz w:val="28"/>
          <w:szCs w:val="28"/>
        </w:rPr>
        <w:t>«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4.1.5.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бесплатного горячего питания обучающихся, получающих начальное общее образование                                         в государственных и муниципальных образовательных организациях»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увеличить за счет средств федерального бюджета: </w:t>
      </w:r>
      <w:r w:rsidRPr="007C0D89">
        <w:rPr>
          <w:rFonts w:ascii="Times New Roman" w:hAnsi="Times New Roman" w:cs="Times New Roman"/>
          <w:sz w:val="28"/>
          <w:szCs w:val="28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3 823,2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рублей, на 2023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3 601,0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уменьшить за счет средств окружного бюджета:  </w:t>
      </w:r>
      <w:r w:rsidRPr="007C0D89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344,2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рублей, на 2023 год </w:t>
      </w:r>
      <w:r w:rsidRPr="007C0D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615,8</w:t>
      </w:r>
      <w:r w:rsidRPr="007C0D89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мероприятиях 2.2., 2.3., 2.4., 2.5., 2.6., 2.7. не конкретизированы образовательные учреждения  муниципального района, в этой связи предлагает ответственному исполнителю рассмотреть вопрос о корректировке наименования мероприятий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Pr="00E50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наименований образовательных учреждений Ханты-Мансийского района.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6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6665">
        <w:rPr>
          <w:rFonts w:ascii="Times New Roman" w:hAnsi="Times New Roman" w:cs="Times New Roman"/>
          <w:sz w:val="28"/>
          <w:szCs w:val="28"/>
        </w:rPr>
        <w:t xml:space="preserve"> программы предлагается дополнить </w:t>
      </w:r>
      <w:r>
        <w:rPr>
          <w:rFonts w:ascii="Times New Roman" w:hAnsi="Times New Roman" w:cs="Times New Roman"/>
          <w:sz w:val="28"/>
          <w:szCs w:val="28"/>
        </w:rPr>
        <w:t>соисполнителя                                    – администрация Ханты-Мансийского района (МКУ ХМР «ЦБ»), в связи                   с изменением подведомственности и уточнением главного распорядителя бюджетных средств.</w:t>
      </w:r>
    </w:p>
    <w:p w:rsidR="004952C8" w:rsidRPr="00BB793A" w:rsidRDefault="004952C8" w:rsidP="004952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5B8">
        <w:rPr>
          <w:rFonts w:ascii="Times New Roman" w:hAnsi="Times New Roman" w:cs="Times New Roman"/>
          <w:sz w:val="28"/>
          <w:szCs w:val="28"/>
        </w:rPr>
        <w:t>Согласно пояснительной записке предлагаемые Проектом изменения не повлекут корректировку целевых показателей муниципальной программы.</w:t>
      </w:r>
    </w:p>
    <w:p w:rsidR="004952C8" w:rsidRPr="00545C53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lastRenderedPageBreak/>
        <w:t>Программа содержит целев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45C53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45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Доля детей в возрасте                    от 5 до 18 лет, охваченных дополнительным образованием</w:t>
      </w:r>
      <w:r w:rsidRPr="00545C53">
        <w:rPr>
          <w:rFonts w:ascii="Times New Roman" w:hAnsi="Times New Roman" w:cs="Times New Roman"/>
          <w:sz w:val="28"/>
          <w:szCs w:val="28"/>
        </w:rPr>
        <w:t xml:space="preserve">», (единица измерения – проценты), значение данного показателя на 2019 год –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545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2021 год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2022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2023 год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2024 год – </w:t>
      </w:r>
      <w:r>
        <w:rPr>
          <w:rFonts w:ascii="Times New Roman" w:hAnsi="Times New Roman" w:cs="Times New Roman"/>
          <w:sz w:val="28"/>
          <w:szCs w:val="28"/>
        </w:rPr>
        <w:t>77.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9F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39F9">
        <w:rPr>
          <w:rFonts w:ascii="Times New Roman" w:hAnsi="Times New Roman" w:cs="Times New Roman"/>
          <w:sz w:val="28"/>
          <w:szCs w:val="28"/>
        </w:rPr>
        <w:t xml:space="preserve"> 38 к постановлению Правительства                                             Ханты-Мансийского автономного округа – </w:t>
      </w:r>
      <w:proofErr w:type="spellStart"/>
      <w:r w:rsidRPr="000839F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8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05.10.2018 </w:t>
      </w:r>
      <w:r w:rsidRPr="000839F9">
        <w:rPr>
          <w:rFonts w:ascii="Times New Roman" w:hAnsi="Times New Roman" w:cs="Times New Roman"/>
          <w:sz w:val="28"/>
          <w:szCs w:val="28"/>
        </w:rPr>
        <w:t xml:space="preserve">№ 338-п «О государственной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839F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3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9F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839F9">
        <w:rPr>
          <w:rFonts w:ascii="Times New Roman" w:hAnsi="Times New Roman" w:cs="Times New Roman"/>
          <w:sz w:val="28"/>
          <w:szCs w:val="28"/>
        </w:rPr>
        <w:t xml:space="preserve"> «Развитие образования»</w:t>
      </w:r>
      <w:r w:rsidRPr="00B753F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>утвержден расчетный перечень показателей национального проекта «Образование»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разрезе региональных проектов</w:t>
      </w:r>
      <w:r w:rsidRPr="00010EA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по административно-территориальным единицам Ханты-Мансийского автономного округа – </w:t>
      </w:r>
      <w:proofErr w:type="spellStart"/>
      <w:r w:rsidRPr="00234F69">
        <w:rPr>
          <w:rFonts w:ascii="Times New Roman" w:hAnsi="Times New Roman"/>
          <w:color w:val="000000" w:themeColor="text1"/>
          <w:sz w:val="28"/>
          <w:szCs w:val="28"/>
        </w:rPr>
        <w:t>Югры</w:t>
      </w:r>
      <w:proofErr w:type="spellEnd"/>
      <w:r w:rsidRPr="00234F69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Перечень, расчетный перечень).</w:t>
      </w:r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Перечнем</w:t>
      </w:r>
      <w:r w:rsidRPr="00083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545C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Доля детей в возрасте от 5 до 18 лет, охваченных дополнительным образованием</w:t>
      </w:r>
      <w:r w:rsidRPr="00545C53">
        <w:rPr>
          <w:rFonts w:ascii="Times New Roman" w:hAnsi="Times New Roman" w:cs="Times New Roman"/>
          <w:sz w:val="28"/>
          <w:szCs w:val="28"/>
        </w:rPr>
        <w:t xml:space="preserve">», (единица измерения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45C53">
        <w:rPr>
          <w:rFonts w:ascii="Times New Roman" w:hAnsi="Times New Roman" w:cs="Times New Roman"/>
          <w:sz w:val="28"/>
          <w:szCs w:val="28"/>
        </w:rPr>
        <w:t>– проценты)</w:t>
      </w:r>
      <w:r>
        <w:rPr>
          <w:rFonts w:ascii="Times New Roman" w:hAnsi="Times New Roman" w:cs="Times New Roman"/>
          <w:sz w:val="28"/>
          <w:szCs w:val="28"/>
        </w:rPr>
        <w:t xml:space="preserve"> установлен со следующими</w:t>
      </w:r>
      <w:r w:rsidRPr="00545C53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ями:</w:t>
      </w:r>
      <w:r w:rsidRPr="00545C53">
        <w:rPr>
          <w:rFonts w:ascii="Times New Roman" w:hAnsi="Times New Roman" w:cs="Times New Roman"/>
          <w:sz w:val="28"/>
          <w:szCs w:val="28"/>
        </w:rPr>
        <w:t xml:space="preserve"> на 2019 год – </w:t>
      </w:r>
      <w:r>
        <w:rPr>
          <w:rFonts w:ascii="Times New Roman" w:hAnsi="Times New Roman" w:cs="Times New Roman"/>
          <w:sz w:val="28"/>
          <w:szCs w:val="28"/>
        </w:rPr>
        <w:t>72,8</w:t>
      </w:r>
      <w:r w:rsidRPr="00545C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на 2020 год –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2021 год –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2022 год  –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545C53">
        <w:rPr>
          <w:rFonts w:ascii="Times New Roman" w:hAnsi="Times New Roman" w:cs="Times New Roman"/>
          <w:sz w:val="28"/>
          <w:szCs w:val="28"/>
        </w:rPr>
        <w:t>, на 2023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2024 год – 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к</w:t>
      </w:r>
      <w:r w:rsidRPr="00E3597B">
        <w:rPr>
          <w:rFonts w:ascii="Times New Roman" w:hAnsi="Times New Roman" w:cs="Times New Roman"/>
          <w:sz w:val="28"/>
          <w:szCs w:val="28"/>
        </w:rPr>
        <w:t xml:space="preserve">онтрольно-счетная палата обращает внимание,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3597B">
        <w:rPr>
          <w:rFonts w:ascii="Times New Roman" w:hAnsi="Times New Roman" w:cs="Times New Roman"/>
          <w:sz w:val="28"/>
          <w:szCs w:val="28"/>
        </w:rPr>
        <w:t xml:space="preserve">что муниципальная программа не содержит целевых показателей,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E3597B">
        <w:rPr>
          <w:rFonts w:ascii="Times New Roman" w:hAnsi="Times New Roman" w:cs="Times New Roman"/>
          <w:sz w:val="28"/>
          <w:szCs w:val="28"/>
        </w:rPr>
        <w:t xml:space="preserve">данным Перечнем, а именно: </w:t>
      </w:r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1399F">
        <w:rPr>
          <w:rFonts w:ascii="Times New Roman" w:hAnsi="Times New Roman" w:cs="Times New Roman"/>
          <w:sz w:val="28"/>
          <w:szCs w:val="28"/>
        </w:rPr>
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01399F"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2020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2021 год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2022 год 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45C53">
        <w:rPr>
          <w:rFonts w:ascii="Times New Roman" w:hAnsi="Times New Roman" w:cs="Times New Roman"/>
          <w:sz w:val="28"/>
          <w:szCs w:val="28"/>
        </w:rPr>
        <w:t>, на 2023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2024 год – </w:t>
      </w:r>
      <w:r>
        <w:rPr>
          <w:rFonts w:ascii="Times New Roman" w:hAnsi="Times New Roman" w:cs="Times New Roman"/>
          <w:sz w:val="28"/>
          <w:szCs w:val="28"/>
        </w:rPr>
        <w:t>40;</w:t>
      </w:r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«Доля обучающихся по программам основного и среднего общего образования, охваченных мероприятиями, </w:t>
      </w:r>
      <w:r w:rsidRPr="00E14820">
        <w:rPr>
          <w:rFonts w:ascii="Times New Roman" w:hAnsi="Times New Roman" w:cs="Times New Roman"/>
          <w:sz w:val="28"/>
          <w:szCs w:val="28"/>
        </w:rPr>
        <w:t>направленным н</w:t>
      </w:r>
      <w:r>
        <w:rPr>
          <w:rFonts w:ascii="Times New Roman" w:hAnsi="Times New Roman" w:cs="Times New Roman"/>
          <w:sz w:val="28"/>
          <w:szCs w:val="28"/>
        </w:rPr>
        <w:t xml:space="preserve">а раннюю профессиональную ориентацию, в том числе в рамках программы «Билет                                     в будущее», </w:t>
      </w:r>
      <w:r w:rsidRPr="00545C53">
        <w:rPr>
          <w:rFonts w:ascii="Times New Roman" w:hAnsi="Times New Roman" w:cs="Times New Roman"/>
          <w:sz w:val="28"/>
          <w:szCs w:val="28"/>
        </w:rPr>
        <w:t>(единица измерения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>– проценты)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2762"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>на 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2020 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2021 год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2022 год 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C53">
        <w:rPr>
          <w:rFonts w:ascii="Times New Roman" w:hAnsi="Times New Roman" w:cs="Times New Roman"/>
          <w:sz w:val="28"/>
          <w:szCs w:val="28"/>
        </w:rPr>
        <w:t>,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C5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45C53">
        <w:rPr>
          <w:rFonts w:ascii="Times New Roman" w:hAnsi="Times New Roman" w:cs="Times New Roman"/>
          <w:sz w:val="28"/>
          <w:szCs w:val="28"/>
        </w:rPr>
        <w:t xml:space="preserve">, на 2024 год – </w:t>
      </w:r>
      <w:r>
        <w:rPr>
          <w:rFonts w:ascii="Times New Roman" w:hAnsi="Times New Roman" w:cs="Times New Roman"/>
          <w:sz w:val="28"/>
          <w:szCs w:val="28"/>
        </w:rPr>
        <w:t>37.</w:t>
      </w:r>
      <w:proofErr w:type="gramEnd"/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рассмотрение экспертно-аналитическим мероприятием предоставлены </w:t>
      </w:r>
      <w:r w:rsidRPr="00DB2DF7">
        <w:rPr>
          <w:rFonts w:ascii="Times New Roman" w:hAnsi="Times New Roman" w:cs="Times New Roman"/>
          <w:sz w:val="28"/>
          <w:szCs w:val="28"/>
        </w:rPr>
        <w:t>Соглашения о</w:t>
      </w:r>
      <w:r w:rsidRPr="00020E2D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2A2">
        <w:rPr>
          <w:rFonts w:ascii="Times New Roman" w:hAnsi="Times New Roman" w:cs="Times New Roman"/>
          <w:sz w:val="28"/>
          <w:szCs w:val="28"/>
        </w:rPr>
        <w:t>субси</w:t>
      </w:r>
      <w:r>
        <w:rPr>
          <w:rFonts w:ascii="Times New Roman" w:hAnsi="Times New Roman" w:cs="Times New Roman"/>
          <w:sz w:val="28"/>
          <w:szCs w:val="28"/>
        </w:rPr>
        <w:t xml:space="preserve">дии и </w:t>
      </w:r>
      <w:r w:rsidRPr="00AF7CA9">
        <w:rPr>
          <w:rFonts w:ascii="Times New Roman" w:hAnsi="Times New Roman" w:cs="Times New Roman"/>
          <w:sz w:val="28"/>
          <w:szCs w:val="28"/>
        </w:rPr>
        <w:t>иного межбюджетного трансферта, имеющего целевое назначение,</w:t>
      </w:r>
      <w:r>
        <w:rPr>
          <w:rFonts w:ascii="Times New Roman" w:hAnsi="Times New Roman" w:cs="Times New Roman"/>
          <w:sz w:val="28"/>
          <w:szCs w:val="28"/>
        </w:rPr>
        <w:t xml:space="preserve"> местному бюджету из </w:t>
      </w:r>
      <w:r w:rsidRPr="00E505A0">
        <w:rPr>
          <w:rFonts w:ascii="Times New Roman" w:hAnsi="Times New Roman" w:cs="Times New Roman"/>
          <w:sz w:val="28"/>
          <w:szCs w:val="28"/>
        </w:rPr>
        <w:t xml:space="preserve">бюджета Ханты-Мансийского автономного округа  – </w:t>
      </w:r>
      <w:proofErr w:type="spellStart"/>
      <w:r w:rsidRPr="00E505A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05A0">
        <w:rPr>
          <w:rFonts w:ascii="Times New Roman" w:hAnsi="Times New Roman" w:cs="Times New Roman"/>
          <w:sz w:val="28"/>
          <w:szCs w:val="28"/>
        </w:rPr>
        <w:t>.</w:t>
      </w:r>
    </w:p>
    <w:p w:rsidR="004952C8" w:rsidRPr="00020E2D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E2D">
        <w:rPr>
          <w:rFonts w:ascii="Times New Roman" w:hAnsi="Times New Roman" w:cs="Times New Roman"/>
          <w:sz w:val="28"/>
          <w:szCs w:val="28"/>
        </w:rPr>
        <w:t xml:space="preserve">20.01.2021 Департамент образования и молодежной политики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 (Главный распорядитель) и Администрация Ханты-Мансийского района (Получатель), в соответствии с Законом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от 26.11.2020 № 106-оз «О бюджете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на 2021 год и плановый период                              2022 и 2023 годов», постановлением Правительства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от 05.10.2018 № 338-п «О государственной </w:t>
      </w:r>
      <w:r w:rsidRPr="00020E2D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proofErr w:type="gramEnd"/>
      <w:r w:rsidRPr="00020E2D">
        <w:rPr>
          <w:rFonts w:ascii="Times New Roman" w:hAnsi="Times New Roman" w:cs="Times New Roman"/>
          <w:sz w:val="28"/>
          <w:szCs w:val="28"/>
        </w:rPr>
        <w:t xml:space="preserve">                           «Развитие образования» заключили Соглашение о предоставлении субсидии местному бюджету из бюджета Ханты-Мансийского автономного округа –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 № 01/21.0082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E2D">
        <w:rPr>
          <w:rFonts w:ascii="Times New Roman" w:hAnsi="Times New Roman" w:cs="Times New Roman"/>
          <w:sz w:val="28"/>
          <w:szCs w:val="28"/>
        </w:rPr>
        <w:t xml:space="preserve">– Соглашение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E2D">
        <w:rPr>
          <w:rFonts w:ascii="Times New Roman" w:hAnsi="Times New Roman" w:cs="Times New Roman"/>
          <w:sz w:val="28"/>
          <w:szCs w:val="28"/>
        </w:rPr>
        <w:t>от 20.01.2021 № 01/21.0082</w:t>
      </w:r>
      <w:r>
        <w:rPr>
          <w:rFonts w:ascii="Times New Roman" w:hAnsi="Times New Roman" w:cs="Times New Roman"/>
          <w:sz w:val="28"/>
          <w:szCs w:val="28"/>
        </w:rPr>
        <w:t>, Соглашение</w:t>
      </w:r>
      <w:r w:rsidRPr="00020E2D">
        <w:rPr>
          <w:rFonts w:ascii="Times New Roman" w:hAnsi="Times New Roman" w:cs="Times New Roman"/>
          <w:sz w:val="28"/>
          <w:szCs w:val="28"/>
        </w:rPr>
        <w:t>).</w:t>
      </w:r>
    </w:p>
    <w:p w:rsidR="004952C8" w:rsidRPr="00020E2D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2D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предоставление субсидии осуществляется в целях </w:t>
      </w:r>
      <w:proofErr w:type="spellStart"/>
      <w:r w:rsidRPr="00020E2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20E2D">
        <w:rPr>
          <w:rFonts w:ascii="Times New Roman" w:hAnsi="Times New Roman" w:cs="Times New Roman"/>
          <w:sz w:val="28"/>
          <w:szCs w:val="28"/>
        </w:rPr>
        <w:t xml:space="preserve"> расходных обязательств Ханты-Мансийского района, в соответствии с перечнем мероприятий, согласно приложению 1 к настоящему Соглашению, утвержденным постановлением администрации Ханты-Мансийского района                              от 12.11.2018 № 333 «О муниципальной программе Ханты-Мансийского района «Развитие образования </w:t>
      </w:r>
      <w:proofErr w:type="gramStart"/>
      <w:r w:rsidRPr="00020E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0E2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020E2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E2D">
        <w:rPr>
          <w:rFonts w:ascii="Times New Roman" w:hAnsi="Times New Roman" w:cs="Times New Roman"/>
          <w:sz w:val="28"/>
          <w:szCs w:val="28"/>
        </w:rPr>
        <w:t xml:space="preserve"> на 2019-2023 годы».</w:t>
      </w:r>
    </w:p>
    <w:p w:rsidR="004952C8" w:rsidRPr="001646B1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6B1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Получатель обязуется обеспечивать достижение значений показателей результативности исполнения мероприятий, в целях </w:t>
      </w:r>
      <w:proofErr w:type="spellStart"/>
      <w:r w:rsidRPr="001646B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646B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установленных в соответствии с приложением 2 к настоящему Соглашению.</w:t>
      </w:r>
    </w:p>
    <w:p w:rsidR="004952C8" w:rsidRPr="00DA52E2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2E2">
        <w:rPr>
          <w:rFonts w:ascii="Times New Roman" w:hAnsi="Times New Roman" w:cs="Times New Roman"/>
          <w:sz w:val="28"/>
          <w:szCs w:val="28"/>
        </w:rPr>
        <w:t xml:space="preserve">Приложением 2 Соглашения (Таблица 1) определен показатель результативности исполнения мероприятия «Организация питания детей                  в возрасте от 6 до 17 лет (включительно) в лагерях с дневным пребыванием детей, в возрасте от 8 до 17 лет (включительно)                                    –  в палаточных лагерях, в возрасте от 14 до 17 лет (включительно)                            – в лагерях труда и отдыха с дневным пребыванием детей», в целях </w:t>
      </w:r>
      <w:proofErr w:type="spellStart"/>
      <w:r w:rsidRPr="00DA52E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A52E2">
        <w:rPr>
          <w:rFonts w:ascii="Times New Roman" w:hAnsi="Times New Roman" w:cs="Times New Roman"/>
          <w:sz w:val="28"/>
          <w:szCs w:val="28"/>
        </w:rPr>
        <w:t xml:space="preserve"> которых предоставляется</w:t>
      </w:r>
      <w:proofErr w:type="gramEnd"/>
      <w:r w:rsidRPr="00DA52E2">
        <w:rPr>
          <w:rFonts w:ascii="Times New Roman" w:hAnsi="Times New Roman" w:cs="Times New Roman"/>
          <w:sz w:val="28"/>
          <w:szCs w:val="28"/>
        </w:rPr>
        <w:t xml:space="preserve"> субсидия: </w:t>
      </w:r>
    </w:p>
    <w:p w:rsidR="004952C8" w:rsidRPr="00DA52E2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2E2">
        <w:rPr>
          <w:rFonts w:ascii="Times New Roman" w:hAnsi="Times New Roman" w:cs="Times New Roman"/>
          <w:sz w:val="28"/>
          <w:szCs w:val="28"/>
        </w:rPr>
        <w:t xml:space="preserve">- Обеспеченность питанием детей в возрасте от 6 до 17 лет (включительно) в лагерях с дневным пребыванием детей, в возрасте                          от 8 до 17 лет (включительно) –  в палаточных лагерях, в возрасте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52E2">
        <w:rPr>
          <w:rFonts w:ascii="Times New Roman" w:hAnsi="Times New Roman" w:cs="Times New Roman"/>
          <w:sz w:val="28"/>
          <w:szCs w:val="28"/>
        </w:rPr>
        <w:t>от 14 до 17 лет (включительно) – в лагерях труда и отдыха с дневным пребыванием детей, единица измерения – процент, плановое значение результата  на 2021 год   – 100;</w:t>
      </w:r>
      <w:proofErr w:type="gramEnd"/>
      <w:r w:rsidRPr="00DA52E2">
        <w:rPr>
          <w:rFonts w:ascii="Times New Roman" w:hAnsi="Times New Roman" w:cs="Times New Roman"/>
          <w:sz w:val="28"/>
          <w:szCs w:val="28"/>
        </w:rPr>
        <w:t xml:space="preserve"> на 2022 год – 100;  на 2023 год – 100.</w:t>
      </w: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05894">
        <w:rPr>
          <w:rFonts w:ascii="Times New Roman" w:hAnsi="Times New Roman" w:cs="Times New Roman"/>
          <w:b/>
          <w:i/>
          <w:sz w:val="28"/>
          <w:szCs w:val="28"/>
        </w:rPr>
        <w:t>Контрольно-счетная палата обращает внимание,                                   что реализация Муниципальной программы не предусматривает достижение целевых показателей, установленных Приложением № 2            к Соглашению от 20.01.2021 № 01/21.0082</w:t>
      </w:r>
      <w:r>
        <w:rPr>
          <w:rFonts w:ascii="Times New Roman" w:hAnsi="Times New Roman" w:cs="Times New Roman"/>
          <w:b/>
          <w:i/>
          <w:sz w:val="28"/>
          <w:szCs w:val="28"/>
        </w:rPr>
        <w:t>, что является обязательным условием предоставления субсидии (пункт  4.3.2</w:t>
      </w:r>
      <w:r w:rsidRPr="003152E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315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152EF">
        <w:rPr>
          <w:rFonts w:ascii="Times New Roman" w:hAnsi="Times New Roman" w:cs="Times New Roman"/>
          <w:b/>
          <w:i/>
          <w:sz w:val="28"/>
          <w:szCs w:val="28"/>
        </w:rPr>
        <w:t>Соглашения).</w:t>
      </w:r>
      <w:proofErr w:type="gramEnd"/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CA9">
        <w:rPr>
          <w:rFonts w:ascii="Times New Roman" w:hAnsi="Times New Roman" w:cs="Times New Roman"/>
          <w:sz w:val="28"/>
          <w:szCs w:val="28"/>
        </w:rPr>
        <w:t xml:space="preserve">18.08.2020 Департамент образования и молодежной политики Ханты-Мансийского автономного округа – </w:t>
      </w:r>
      <w:proofErr w:type="spellStart"/>
      <w:r w:rsidRPr="00AF7C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CA9">
        <w:rPr>
          <w:rFonts w:ascii="Times New Roman" w:hAnsi="Times New Roman" w:cs="Times New Roman"/>
          <w:sz w:val="28"/>
          <w:szCs w:val="28"/>
        </w:rPr>
        <w:t xml:space="preserve"> (Главный распорядитель) и Администрация Ханты-Мансийского района (Получатель), в соответствии с Бюджетным кодексом Российской Федерации, постановлением Правительства Ханты-Мансийского автономного округа – </w:t>
      </w:r>
      <w:proofErr w:type="spellStart"/>
      <w:r w:rsidRPr="00AF7C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CA9">
        <w:rPr>
          <w:rFonts w:ascii="Times New Roman" w:hAnsi="Times New Roman" w:cs="Times New Roman"/>
          <w:sz w:val="28"/>
          <w:szCs w:val="28"/>
        </w:rPr>
        <w:t xml:space="preserve"> от 05.10.2018 № 338-п «О государственной программе Ханты-Мансийского автономного округа – </w:t>
      </w:r>
      <w:proofErr w:type="spellStart"/>
      <w:r w:rsidRPr="00AF7C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C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7CA9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образования» заключили Соглашение о предоставлении иного межбюджетного трансферта, имеющего целевое назначение, из бюджета Ханты-Мансийского автономного округа – </w:t>
      </w:r>
      <w:proofErr w:type="spellStart"/>
      <w:r w:rsidRPr="00AF7C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CA9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proofErr w:type="gramEnd"/>
      <w:r w:rsidRPr="00AF7CA9">
        <w:rPr>
          <w:rFonts w:ascii="Times New Roman" w:hAnsi="Times New Roman" w:cs="Times New Roman"/>
          <w:sz w:val="28"/>
          <w:szCs w:val="28"/>
        </w:rPr>
        <w:t xml:space="preserve">                      № 71829000-1-2020-004 (далее  – Соглашение от 18.08.2020                               № 71829000-1-2020-004</w:t>
      </w:r>
      <w:r>
        <w:rPr>
          <w:rFonts w:ascii="Times New Roman" w:hAnsi="Times New Roman" w:cs="Times New Roman"/>
          <w:sz w:val="28"/>
          <w:szCs w:val="28"/>
        </w:rPr>
        <w:t>, Соглашение</w:t>
      </w:r>
      <w:r w:rsidRPr="00AF7CA9">
        <w:rPr>
          <w:rFonts w:ascii="Times New Roman" w:hAnsi="Times New Roman" w:cs="Times New Roman"/>
          <w:sz w:val="28"/>
          <w:szCs w:val="28"/>
        </w:rPr>
        <w:t>).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25.01.2021 </w:t>
      </w:r>
      <w:r w:rsidRPr="00AF7CA9">
        <w:rPr>
          <w:rFonts w:ascii="Times New Roman" w:hAnsi="Times New Roman" w:cs="Times New Roman"/>
          <w:sz w:val="28"/>
          <w:szCs w:val="28"/>
        </w:rPr>
        <w:t xml:space="preserve">Департамент образования и молодежной политики Ханты-Мансийского автономного округа – </w:t>
      </w:r>
      <w:proofErr w:type="spellStart"/>
      <w:r w:rsidRPr="00AF7CA9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AF7CA9">
        <w:rPr>
          <w:rFonts w:ascii="Times New Roman" w:hAnsi="Times New Roman" w:cs="Times New Roman"/>
          <w:sz w:val="28"/>
          <w:szCs w:val="28"/>
        </w:rPr>
        <w:t xml:space="preserve">  (Главный распорядитель) и Администрация Ханты-Мансийского района (Получатель)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CA9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>Дополнительное соглашение                                              от 25.01.2021 № 71829000-1-2020-004/2 к с</w:t>
      </w:r>
      <w:r w:rsidRPr="00AF7CA9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AF7CA9">
        <w:rPr>
          <w:rFonts w:ascii="Times New Roman" w:hAnsi="Times New Roman" w:cs="Times New Roman"/>
          <w:sz w:val="28"/>
          <w:szCs w:val="28"/>
        </w:rPr>
        <w:t xml:space="preserve">о предоставлении иного межбюджетного трансферта, имеющего целевое назначение,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7CA9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AF7CA9">
        <w:rPr>
          <w:rFonts w:ascii="Times New Roman" w:hAnsi="Times New Roman" w:cs="Times New Roman"/>
          <w:sz w:val="28"/>
          <w:szCs w:val="28"/>
        </w:rPr>
        <w:t xml:space="preserve"> местному бюджету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18.08.2020 </w:t>
      </w:r>
      <w:r w:rsidRPr="00AF7CA9">
        <w:rPr>
          <w:rFonts w:ascii="Times New Roman" w:hAnsi="Times New Roman" w:cs="Times New Roman"/>
          <w:sz w:val="28"/>
          <w:szCs w:val="28"/>
        </w:rPr>
        <w:t>№ 71829000-1-2020-004.</w:t>
      </w:r>
    </w:p>
    <w:p w:rsidR="004952C8" w:rsidRPr="007508CA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8CA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предоставление субсидии осуществляется в целях финансового обеспечения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08CA">
        <w:rPr>
          <w:rFonts w:ascii="Times New Roman" w:hAnsi="Times New Roman" w:cs="Times New Roman"/>
          <w:sz w:val="28"/>
          <w:szCs w:val="28"/>
        </w:rPr>
        <w:t xml:space="preserve">в соответствии с перечнем мероприятий,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50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508CA">
        <w:rPr>
          <w:rFonts w:ascii="Times New Roman" w:hAnsi="Times New Roman" w:cs="Times New Roman"/>
          <w:sz w:val="28"/>
          <w:szCs w:val="28"/>
        </w:rPr>
        <w:t xml:space="preserve"> к настоящему Соглашению, утвержденным постановлением администрации Ханты-Мансийского района от 12.11.2018 № 333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508CA">
        <w:rPr>
          <w:rFonts w:ascii="Times New Roman" w:hAnsi="Times New Roman" w:cs="Times New Roman"/>
          <w:sz w:val="28"/>
          <w:szCs w:val="28"/>
        </w:rPr>
        <w:t xml:space="preserve">«О муниципальной программе Ханты-Мансийского района «Развитие образования </w:t>
      </w:r>
      <w:proofErr w:type="gramStart"/>
      <w:r w:rsidRPr="007508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50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08CA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7508CA">
        <w:rPr>
          <w:rFonts w:ascii="Times New Roman" w:hAnsi="Times New Roman" w:cs="Times New Roman"/>
          <w:sz w:val="28"/>
          <w:szCs w:val="28"/>
        </w:rPr>
        <w:t xml:space="preserve"> районе на 2019-2022 годы».</w:t>
      </w:r>
    </w:p>
    <w:p w:rsidR="004952C8" w:rsidRPr="00E606D5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D5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Муниципалитет обязуется обеспечивать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и</w:t>
      </w:r>
      <w:r w:rsidRPr="00E606D5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трансферта, установленных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606D5">
        <w:rPr>
          <w:rFonts w:ascii="Times New Roman" w:hAnsi="Times New Roman" w:cs="Times New Roman"/>
          <w:sz w:val="28"/>
          <w:szCs w:val="28"/>
        </w:rPr>
        <w:t>с приложением № 2 к настоящему Соглашению.</w:t>
      </w:r>
    </w:p>
    <w:p w:rsidR="004952C8" w:rsidRPr="00E606D5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D5">
        <w:rPr>
          <w:rFonts w:ascii="Times New Roman" w:hAnsi="Times New Roman" w:cs="Times New Roman"/>
          <w:sz w:val="28"/>
          <w:szCs w:val="28"/>
        </w:rPr>
        <w:t xml:space="preserve">Приложением 2 Соглашения определен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6D5">
        <w:rPr>
          <w:rFonts w:ascii="Times New Roman" w:hAnsi="Times New Roman" w:cs="Times New Roman"/>
          <w:sz w:val="28"/>
          <w:szCs w:val="28"/>
        </w:rPr>
        <w:t xml:space="preserve">ного межбюджетного трансферта направления расходов «Иные межбюджетные трансферты на ежемесячное денежное вознаграждение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606D5">
        <w:rPr>
          <w:rFonts w:ascii="Times New Roman" w:hAnsi="Times New Roman" w:cs="Times New Roman"/>
          <w:sz w:val="28"/>
          <w:szCs w:val="28"/>
        </w:rPr>
        <w:t xml:space="preserve">за классное руководство педагогическим работникам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06D5">
        <w:rPr>
          <w:rFonts w:ascii="Times New Roman" w:hAnsi="Times New Roman" w:cs="Times New Roman"/>
          <w:sz w:val="28"/>
          <w:szCs w:val="28"/>
        </w:rPr>
        <w:t xml:space="preserve">и муниципальных общеобразовательных организаций (за счет средств федерального бюджета)»: </w:t>
      </w:r>
    </w:p>
    <w:p w:rsidR="004952C8" w:rsidRPr="00317296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6D5">
        <w:rPr>
          <w:rFonts w:ascii="Times New Roman" w:hAnsi="Times New Roman" w:cs="Times New Roman"/>
          <w:sz w:val="28"/>
          <w:szCs w:val="28"/>
        </w:rPr>
        <w:t xml:space="preserve">- Доля педагогических работников  общеобразовательных организаций, получивших вознаграждение за классное руководство,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606D5">
        <w:rPr>
          <w:rFonts w:ascii="Times New Roman" w:hAnsi="Times New Roman" w:cs="Times New Roman"/>
          <w:sz w:val="28"/>
          <w:szCs w:val="28"/>
        </w:rPr>
        <w:t>в общей численности педагогических работников такой категории, единица измерения – процент, плановое значение результатов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60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7296">
        <w:rPr>
          <w:rFonts w:ascii="Times New Roman" w:hAnsi="Times New Roman" w:cs="Times New Roman"/>
          <w:sz w:val="28"/>
          <w:szCs w:val="28"/>
        </w:rPr>
        <w:t>на 31.12.2020 год   – 100; на 31.12.2021 год – 100;  на 31.12.2022 год – 100;  на 31.12.2023 год – 100.</w:t>
      </w: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7296"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Контрольно-счетная палата обращает внимание,                                   что реализация Муниципальной программы не предусматривает достижение </w:t>
      </w:r>
      <w:r>
        <w:rPr>
          <w:rFonts w:ascii="Times New Roman" w:hAnsi="Times New Roman" w:cs="Times New Roman"/>
          <w:b/>
          <w:i/>
          <w:sz w:val="28"/>
          <w:szCs w:val="28"/>
        </w:rPr>
        <w:t>результатов предоставления и</w:t>
      </w:r>
      <w:r w:rsidRPr="00A87742">
        <w:rPr>
          <w:rFonts w:ascii="Times New Roman" w:hAnsi="Times New Roman" w:cs="Times New Roman"/>
          <w:b/>
          <w:i/>
          <w:sz w:val="28"/>
          <w:szCs w:val="28"/>
        </w:rPr>
        <w:t>ного межбюджетного трансферта,</w:t>
      </w:r>
      <w:r w:rsidRPr="00317296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установленных Приложением № 2 к Соглашению                               от 18.08.2020  № 71829000-1-2020-004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C31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является обязательным условием предоставления </w:t>
      </w:r>
      <w:r w:rsidRPr="00AC3127">
        <w:rPr>
          <w:rFonts w:ascii="Times New Roman" w:hAnsi="Times New Roman" w:cs="Times New Roman"/>
          <w:b/>
          <w:i/>
          <w:sz w:val="28"/>
          <w:szCs w:val="28"/>
        </w:rPr>
        <w:t>иного межбюджетного трансферта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(пункт  </w:t>
      </w:r>
      <w:r w:rsidRPr="003152EF">
        <w:rPr>
          <w:rFonts w:ascii="Times New Roman" w:hAnsi="Times New Roman" w:cs="Times New Roman"/>
          <w:b/>
          <w:i/>
          <w:sz w:val="28"/>
          <w:szCs w:val="28"/>
        </w:rPr>
        <w:t>4.3.3.</w:t>
      </w:r>
      <w:proofErr w:type="gramEnd"/>
      <w:r w:rsidRPr="00315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152EF">
        <w:rPr>
          <w:rFonts w:ascii="Times New Roman" w:hAnsi="Times New Roman" w:cs="Times New Roman"/>
          <w:b/>
          <w:i/>
          <w:sz w:val="28"/>
          <w:szCs w:val="28"/>
        </w:rPr>
        <w:t>Соглашения).</w:t>
      </w:r>
      <w:proofErr w:type="gramEnd"/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Pr="006D74F3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4F3">
        <w:rPr>
          <w:rFonts w:ascii="Times New Roman" w:hAnsi="Times New Roman" w:cs="Times New Roman"/>
          <w:sz w:val="28"/>
          <w:szCs w:val="28"/>
        </w:rPr>
        <w:lastRenderedPageBreak/>
        <w:t xml:space="preserve">25.01.2021 Департамент образования и молодежной политики Ханты-Мансийского автономного округа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 (Главный распорядитель) и Администрация Ханты-Мансийского района (Получатель), в соответствии с Порядком предоставления и распределения субсидий из бюджета Ханты-Мансийского автономного округа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и городских округов                               Ханты–Мансийского автономного округа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</w:t>
      </w:r>
      <w:proofErr w:type="gramEnd"/>
      <w:r w:rsidRPr="006D74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74F3">
        <w:rPr>
          <w:rFonts w:ascii="Times New Roman" w:hAnsi="Times New Roman" w:cs="Times New Roman"/>
          <w:sz w:val="28"/>
          <w:szCs w:val="28"/>
        </w:rPr>
        <w:t xml:space="preserve">частных общеобразовательных организаций, осуществляющих образовательную деятельность                               по имеющим государственную аккредитацию основным общеобразовательным программам, в том числе за счет бюджетных ассигнований, предусмотренных бюджету Ханты–Мансийского автономного округа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из федерального бюджета, утвержденного постановлением Правительства Ханты-Мансийского автономного округа        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от 05.10.2018 № 338-п «О государственной программе Ханты-Мансийского автономного округа – </w:t>
      </w:r>
      <w:proofErr w:type="spellStart"/>
      <w:r w:rsidRPr="006D74F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6D74F3">
        <w:rPr>
          <w:rFonts w:ascii="Times New Roman" w:hAnsi="Times New Roman" w:cs="Times New Roman"/>
          <w:sz w:val="28"/>
          <w:szCs w:val="28"/>
        </w:rPr>
        <w:t xml:space="preserve">  «Развитие образования» заключили Соглашение о предоставлении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6D74F3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6D74F3">
        <w:rPr>
          <w:rFonts w:ascii="Times New Roman" w:hAnsi="Times New Roman" w:cs="Times New Roman"/>
          <w:sz w:val="28"/>
          <w:szCs w:val="28"/>
        </w:rPr>
        <w:t xml:space="preserve"> местному бюджету</w:t>
      </w:r>
      <w:proofErr w:type="gramEnd"/>
      <w:r w:rsidRPr="006D74F3">
        <w:rPr>
          <w:rFonts w:ascii="Times New Roman" w:hAnsi="Times New Roman" w:cs="Times New Roman"/>
          <w:sz w:val="28"/>
          <w:szCs w:val="28"/>
        </w:rPr>
        <w:t xml:space="preserve"> № 71829000-1-202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4F3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4F3">
        <w:rPr>
          <w:rFonts w:ascii="Times New Roman" w:hAnsi="Times New Roman" w:cs="Times New Roman"/>
          <w:sz w:val="28"/>
          <w:szCs w:val="28"/>
        </w:rPr>
        <w:t xml:space="preserve"> (далее  – Соглашение от 25.01.2021  № 71829000-1-202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4F3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74F3">
        <w:rPr>
          <w:rFonts w:ascii="Times New Roman" w:hAnsi="Times New Roman" w:cs="Times New Roman"/>
          <w:sz w:val="28"/>
          <w:szCs w:val="28"/>
        </w:rPr>
        <w:t>, Соглашение).</w:t>
      </w:r>
    </w:p>
    <w:p w:rsidR="004952C8" w:rsidRPr="00130217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17">
        <w:rPr>
          <w:rFonts w:ascii="Times New Roman" w:hAnsi="Times New Roman" w:cs="Times New Roman"/>
          <w:sz w:val="28"/>
          <w:szCs w:val="28"/>
        </w:rPr>
        <w:t>Соглашением определено, что субсиди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217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130217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  <w:r w:rsidRPr="0013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30217">
        <w:rPr>
          <w:rFonts w:ascii="Times New Roman" w:hAnsi="Times New Roman" w:cs="Times New Roman"/>
          <w:sz w:val="28"/>
          <w:szCs w:val="28"/>
        </w:rPr>
        <w:t>согласно приложению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17">
        <w:rPr>
          <w:rFonts w:ascii="Times New Roman" w:hAnsi="Times New Roman" w:cs="Times New Roman"/>
          <w:sz w:val="28"/>
          <w:szCs w:val="28"/>
        </w:rPr>
        <w:t xml:space="preserve">к настоящему Соглашению,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Pr="0013021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30217">
        <w:rPr>
          <w:rFonts w:ascii="Times New Roman" w:hAnsi="Times New Roman" w:cs="Times New Roman"/>
          <w:sz w:val="28"/>
          <w:szCs w:val="28"/>
        </w:rPr>
        <w:t>от 12.11.2018 № 333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217">
        <w:rPr>
          <w:rFonts w:ascii="Times New Roman" w:hAnsi="Times New Roman" w:cs="Times New Roman"/>
          <w:sz w:val="28"/>
          <w:szCs w:val="28"/>
        </w:rPr>
        <w:t xml:space="preserve">«О муниципальной программе Ханты-Мансийского района «Развитие образования </w:t>
      </w:r>
      <w:proofErr w:type="gramStart"/>
      <w:r w:rsidRPr="001302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0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021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30217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0217">
        <w:rPr>
          <w:rFonts w:ascii="Times New Roman" w:hAnsi="Times New Roman" w:cs="Times New Roman"/>
          <w:sz w:val="28"/>
          <w:szCs w:val="28"/>
        </w:rPr>
        <w:t>на 2019-2022 годы».</w:t>
      </w:r>
    </w:p>
    <w:p w:rsidR="004952C8" w:rsidRPr="00130217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217">
        <w:rPr>
          <w:rFonts w:ascii="Times New Roman" w:hAnsi="Times New Roman" w:cs="Times New Roman"/>
          <w:sz w:val="28"/>
          <w:szCs w:val="28"/>
        </w:rPr>
        <w:t xml:space="preserve">Соглашением определено, что Муниципалитет обязуется обеспечивать достижение значений результатов </w:t>
      </w:r>
      <w:r>
        <w:rPr>
          <w:rFonts w:ascii="Times New Roman" w:hAnsi="Times New Roman" w:cs="Times New Roman"/>
          <w:sz w:val="28"/>
          <w:szCs w:val="28"/>
        </w:rPr>
        <w:t>использования Субсидии,</w:t>
      </w:r>
      <w:r w:rsidRPr="0013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</w:t>
      </w:r>
      <w:r w:rsidRPr="00130217">
        <w:rPr>
          <w:rFonts w:ascii="Times New Roman" w:hAnsi="Times New Roman" w:cs="Times New Roman"/>
          <w:sz w:val="28"/>
          <w:szCs w:val="28"/>
        </w:rPr>
        <w:t>с приложением № 2 к настоящему Соглашению.</w:t>
      </w:r>
    </w:p>
    <w:p w:rsidR="004952C8" w:rsidRPr="00C220D6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0D6">
        <w:rPr>
          <w:rFonts w:ascii="Times New Roman" w:hAnsi="Times New Roman" w:cs="Times New Roman"/>
          <w:sz w:val="28"/>
          <w:szCs w:val="28"/>
        </w:rPr>
        <w:t xml:space="preserve">Приложением 2 Соглашения определен результат предоставления Субсидии направления расходов «Субсидия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организациях»: </w:t>
      </w:r>
    </w:p>
    <w:p w:rsidR="004952C8" w:rsidRPr="00571EF2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EF2">
        <w:rPr>
          <w:rFonts w:ascii="Times New Roman" w:hAnsi="Times New Roman" w:cs="Times New Roman"/>
          <w:sz w:val="28"/>
          <w:szCs w:val="28"/>
        </w:rPr>
        <w:t>- Доля обучающихся, получающих начальное общее образование                   в государственных и муниципальных образовательных организациях, получающих бесплатное горячее питание, к общему количеству обучающихся, получающих общее образование в государственных                           и муниципальных образовательных организациях, единица измерения                      – процент, плановое значение результатов: на 31.12.2021 год – 100;                             на 31.12.2022 год – 100;  на 31.12.2023 год – 100.</w:t>
      </w: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71E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Контрольно-счетная палата обращает внимание,                                   что  реализация Муниципальной программы не предусматривает достижение результатов предоставления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71EF2">
        <w:rPr>
          <w:rFonts w:ascii="Times New Roman" w:hAnsi="Times New Roman" w:cs="Times New Roman"/>
          <w:b/>
          <w:i/>
          <w:sz w:val="28"/>
          <w:szCs w:val="28"/>
        </w:rPr>
        <w:t>ного межбюджетного трансферта, установленных Приложением № 2 к Соглашению                               от 25.01.2021  № 71829000-1-2021-001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C31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является обязательным </w:t>
      </w:r>
      <w:r w:rsidRPr="003152EF">
        <w:rPr>
          <w:rFonts w:ascii="Times New Roman" w:hAnsi="Times New Roman" w:cs="Times New Roman"/>
          <w:b/>
          <w:i/>
          <w:sz w:val="28"/>
          <w:szCs w:val="28"/>
        </w:rPr>
        <w:t>условием предоставления субсидии (пункт  4.3.3.</w:t>
      </w:r>
      <w:proofErr w:type="gramEnd"/>
      <w:r w:rsidRPr="003152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3152EF">
        <w:rPr>
          <w:rFonts w:ascii="Times New Roman" w:hAnsi="Times New Roman" w:cs="Times New Roman"/>
          <w:b/>
          <w:i/>
          <w:sz w:val="28"/>
          <w:szCs w:val="28"/>
        </w:rPr>
        <w:t>Соглашения).</w:t>
      </w:r>
      <w:proofErr w:type="gramEnd"/>
    </w:p>
    <w:p w:rsidR="004952C8" w:rsidRDefault="004952C8" w:rsidP="004952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Pr="00DD339F" w:rsidRDefault="004952C8" w:rsidP="004952C8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С учетом изложенного, Контрольно-счетная палата считает необходимым откорректировать значения целевых показателей Муниципальной программы с учетом, </w:t>
      </w:r>
      <w:r w:rsidRPr="0078606D">
        <w:rPr>
          <w:rFonts w:ascii="Times New Roman" w:hAnsi="Times New Roman" w:cs="Times New Roman"/>
          <w:b/>
          <w:i/>
          <w:sz w:val="28"/>
          <w:szCs w:val="28"/>
        </w:rPr>
        <w:t xml:space="preserve">заключенных Соглашений:                     </w:t>
      </w:r>
      <w:r w:rsidRPr="00C05894">
        <w:rPr>
          <w:rFonts w:ascii="Times New Roman" w:hAnsi="Times New Roman" w:cs="Times New Roman"/>
          <w:b/>
          <w:i/>
          <w:sz w:val="28"/>
          <w:szCs w:val="28"/>
        </w:rPr>
        <w:t>от 20.01.2021 № 01/21.0082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Pr="00317296">
        <w:rPr>
          <w:rFonts w:ascii="Times New Roman" w:hAnsi="Times New Roman" w:cs="Times New Roman"/>
          <w:b/>
          <w:i/>
          <w:sz w:val="28"/>
          <w:szCs w:val="28"/>
        </w:rPr>
        <w:t>от 18.08.2020  № 71829000-1-2020-004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;                    </w:t>
      </w:r>
      <w:r w:rsidRPr="00571EF2">
        <w:rPr>
          <w:rFonts w:ascii="Times New Roman" w:hAnsi="Times New Roman" w:cs="Times New Roman"/>
          <w:b/>
          <w:i/>
          <w:sz w:val="28"/>
          <w:szCs w:val="28"/>
        </w:rPr>
        <w:t>от 25.01.2021 № 71829000-1-2021-001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949AF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соответствующих </w:t>
      </w:r>
      <w:r w:rsidRPr="00DD339F"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нормативных актов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b/>
          <w:i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 xml:space="preserve">Контрольно-счетная палата обращает внимание, что муниципальной программой предусмотрена реализация мероприятий: «Организация питания детей в возрасте от 6 до 17 лет (включительно) в лагерях                        с дневным пребыванием детей, в возрасте от 8 до 17 лет (включительно)                                 – в палаточных лагерях, в возрасте от 14 до 17 лет (включительно)                        – в лагерях труда и отдыха с дневным пребыванием детей»; «Организация отдыха и оздоровления детей на территории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и в климатически благоприятных регионах Российской Федерации».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 xml:space="preserve">Так, реализация мероприятия «Организация отдыха и оздоровления детей на территории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                и в климатически благоприятных регионах Российской Федерации» осуществляется в рамках переданных государственных полномочий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по организации                          и обеспечению отдыха и оздоровления детей (Закон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от 08.07.2005 № 62-оз).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 xml:space="preserve">Перечень передаваемых полномочий определен вышеуказанным законом: предоставление детям в возрасте от 6 до 17 лет (включительно) путевок в организации отдыха детей и их оздоровления, в том числе                       в этнической среде, приобретаемых за счет средств бюджета автономного округа (за исключением детей, относящихся к категориям, указанным                     в подпункте 8 пункта 2 статьи 2 Закона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«Об организации и обеспечении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отдыха и оздоровления детей, проживающих в Ханты-Мансийском автономном округе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»),  обеспечение оплаты стоимости услуг лиц, сопровождающих детей                     до места нахождения организаций отдыха детей и их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                      и обратно, страхование от несчастных случаев и болезней детей на период их следования к месту отдыха и оздоровления и обратно и на период                   их пребывания в организациях отдыха детей и их оздоровления.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из бюджета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бюджетам муниципальных районов для осуществления отдельных переданных государственных полномочий по организации и обеспечению отдыха                    и оздоровления детей, имеющих место жительство на территориях муниципальных образований Ханты-Мансийского автономного округа                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определен постановлением Правительства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от 11.08.2017 № 304-п (далее – Постановление от 11.08.2017 № 304-п).</w:t>
      </w:r>
      <w:proofErr w:type="gramEnd"/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>Постановлением от 11.08.2017 № 304-п (пункт 4) предусмотрено,        что органы местного самоуправления муниципальных образований автономного округа при осуществлении отдельных переданных государственных полномочий вправе дополнительно использовать собственные материальные ресурсы и финансовые средства в случаях                  и порядке, предусмотренных уставами муниципальных образований.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r w:rsidRPr="00DD339F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обращает внимание, что вопрос                    в части финансового обеспечения реализации мероприятия «Организация отдыха и оздоровления детей на территории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i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i/>
          <w:sz w:val="28"/>
          <w:szCs w:val="28"/>
        </w:rPr>
        <w:t xml:space="preserve"> и в климатически благоприятных регионах Российской Федерации» за счет средств бюджета Ханты-Мансийского района не урегулирован. 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 xml:space="preserve">Законом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                         от 30.12.2009 № 250-оз «Об организации и обеспечении отдыха                                и оздоровления детей, имеющих место жительства в Ханты-Мансийском автономном округе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» (далее – Закон № 250-оз) определены полномочия Правительства Ханты-Мансийского автономного округа                  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в сфере организации и обеспечения отдыха и оздоровления детей, в том числе: предоставление субсидий местным бюджетам                                  на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мероприятий по обеспечению организации отдыха детей                      в каникулярное время, включая мероприятия по обеспечению безопасности их жизни и здоровья, в части оплаты стоимости питания детей школьного возраста в оздоровительных лагерях с дневным пребыванием детей, палаточных лагерях, лагерях труда и отдыха.</w:t>
      </w:r>
    </w:p>
    <w:p w:rsidR="004952C8" w:rsidRPr="00DD339F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Закона № 250-оз постановлением Правительства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от 27.01.2010 № 21-п утверждены соответствующие порядки в части организации отдыха                    и оздоровления детей, имеющих место жительства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DD339F">
        <w:rPr>
          <w:rFonts w:ascii="Times New Roman" w:hAnsi="Times New Roman" w:cs="Times New Roman"/>
          <w:sz w:val="28"/>
          <w:szCs w:val="28"/>
        </w:rPr>
        <w:t xml:space="preserve"> автономном округе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(далее – Постановление № 21-п).</w:t>
      </w:r>
    </w:p>
    <w:p w:rsidR="004952C8" w:rsidRPr="00DD339F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 xml:space="preserve">Пунктом 1.8. Постановления № 21-п определено, что органы местного самоуправления муниципальных образований                              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 вправе увеличить расходы на организацию питания детей в лагерях с дневным пребыванием </w:t>
      </w:r>
      <w:r w:rsidRPr="00DD339F">
        <w:rPr>
          <w:rFonts w:ascii="Times New Roman" w:hAnsi="Times New Roman" w:cs="Times New Roman"/>
          <w:sz w:val="28"/>
          <w:szCs w:val="28"/>
        </w:rPr>
        <w:lastRenderedPageBreak/>
        <w:t>детей, лагерях труда и отдыха с дневным пребыванием детей, палаточных</w:t>
      </w:r>
      <w:r>
        <w:rPr>
          <w:rFonts w:ascii="Times New Roman" w:hAnsi="Times New Roman" w:cs="Times New Roman"/>
          <w:sz w:val="28"/>
          <w:szCs w:val="28"/>
        </w:rPr>
        <w:t xml:space="preserve"> лагерях за счет источников, не</w:t>
      </w:r>
      <w:r w:rsidRPr="00DD339F">
        <w:rPr>
          <w:rFonts w:ascii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</w:p>
    <w:p w:rsidR="004952C8" w:rsidRPr="00DD339F" w:rsidRDefault="004952C8" w:rsidP="0049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339F">
        <w:rPr>
          <w:rFonts w:ascii="Times New Roman" w:hAnsi="Times New Roman" w:cs="Times New Roman"/>
          <w:sz w:val="28"/>
          <w:szCs w:val="28"/>
        </w:rPr>
        <w:t xml:space="preserve">Кроме этого, пунктом 5 Приложения 2 к Постановлению № 21-п определено, что Порядок организации и оплаты стоимости питания детей   в лагерях с дневным пребыванием детей, лагерях труда и отдыха                           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муниципальных образований Ханты-Мансийского автономного округа                – </w:t>
      </w:r>
      <w:proofErr w:type="spellStart"/>
      <w:r w:rsidRPr="00DD33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DD33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52C8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339F">
        <w:rPr>
          <w:rFonts w:ascii="Times New Roman" w:hAnsi="Times New Roman" w:cs="Times New Roman"/>
          <w:i/>
          <w:sz w:val="28"/>
          <w:szCs w:val="28"/>
        </w:rPr>
        <w:tab/>
        <w:t>Контрольно-счетная палата обращает внимание на отсутствие вышеуказанного порядка, а также документа, определяющего перечень категорий детей, которым предоставляется дополнительная мера социальной поддержки за счет средств бюджета Ханты-Мансийского района.</w:t>
      </w:r>
    </w:p>
    <w:p w:rsidR="004952C8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52C8" w:rsidRPr="006C209B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349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района, обращает внимание, что отсутствует увязка финансового обеспечения                                        по </w:t>
      </w:r>
      <w:r w:rsidRPr="004913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мероприятию 3.3. «Укрепление материально-технической базы образовательных учреждений (показатель 1)» с </w:t>
      </w:r>
      <w:r w:rsidRPr="00491349">
        <w:rPr>
          <w:rFonts w:ascii="Times New Roman" w:hAnsi="Times New Roman" w:cs="Times New Roman"/>
          <w:sz w:val="28"/>
          <w:szCs w:val="28"/>
        </w:rPr>
        <w:t>распоряжением администрации Ханты-Мансийского района от 10.09.2015 № 1191-р                       «Об утверждении нормативов и нормативных затрат                                     на обеспечение функций структурных органов администрации                            Ханты-мансийского района и функций казенных учреждений                             Ханты-Мансийского района». Данным распоряжением определены нормативы на приобретение иных товаров и услуг, нормативы                                       на хозяйственные товары и принадлежности для обеспечения функций образовательных учреждений Ханты-Мансийского района.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в рамках реализации Муниципальной программы предусматривается реализация мероприятия </w:t>
      </w:r>
      <w:r w:rsidRPr="00E509AC">
        <w:rPr>
          <w:rFonts w:ascii="Times New Roman" w:hAnsi="Times New Roman" w:cs="Times New Roman"/>
          <w:sz w:val="28"/>
          <w:szCs w:val="28"/>
        </w:rPr>
        <w:t>«5.4.1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9AC">
        <w:rPr>
          <w:rFonts w:ascii="Times New Roman" w:hAnsi="Times New Roman" w:cs="Times New Roman"/>
          <w:sz w:val="28"/>
          <w:szCs w:val="28"/>
        </w:rPr>
        <w:t>Организация экологических трудовых отрядов»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 5.4.1.), с финансовым обеспечением – 3 599,1 тыс. рублей.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Ханты-Мансийского района                   от 21.03.2019 № 82 утверждено Положение об организации трудовых экологических отрядов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районе, Перечень видов работ, разрешенных к выполнению гражданами в возрасте от 14 до 18 лет. 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hyperlink r:id="rId8" w:history="1">
        <w:r w:rsidRPr="008C455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455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4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55C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8C4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455C">
        <w:rPr>
          <w:rFonts w:ascii="Times New Roman" w:hAnsi="Times New Roman" w:cs="Times New Roman"/>
          <w:sz w:val="28"/>
          <w:szCs w:val="28"/>
        </w:rPr>
        <w:t xml:space="preserve">от 05.10.2018 N 343-п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455C">
        <w:rPr>
          <w:rFonts w:ascii="Times New Roman" w:hAnsi="Times New Roman" w:cs="Times New Roman"/>
          <w:sz w:val="28"/>
          <w:szCs w:val="28"/>
        </w:rPr>
        <w:t>О государственной программе Ханты-Мансийс</w:t>
      </w:r>
      <w:r>
        <w:rPr>
          <w:rFonts w:ascii="Times New Roman" w:hAnsi="Times New Roman" w:cs="Times New Roman"/>
          <w:sz w:val="28"/>
          <w:szCs w:val="28"/>
        </w:rPr>
        <w:t xml:space="preserve">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455C">
        <w:rPr>
          <w:rFonts w:ascii="Times New Roman" w:hAnsi="Times New Roman" w:cs="Times New Roman"/>
          <w:sz w:val="28"/>
          <w:szCs w:val="28"/>
        </w:rPr>
        <w:t>Поддержка занятости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Положением определено, что заработная плата формируется из следующих источников: средства бюджета                            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соответствии                        </w:t>
      </w:r>
      <w:r w:rsidRPr="0081530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9" w:history="1">
        <w:r w:rsidRPr="0081530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5302">
        <w:rPr>
          <w:rFonts w:ascii="Times New Roman" w:hAnsi="Times New Roman" w:cs="Times New Roman"/>
          <w:sz w:val="28"/>
          <w:szCs w:val="28"/>
        </w:rPr>
        <w:t xml:space="preserve"> организации временного трудоустройства граждан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государственной программе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«Поддержка занятости населения», утвержденной постановлением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05.10.2018 N 343-п); средства бюджета Ханты-Мансийского района, предусмотренные муниципальной </w:t>
      </w:r>
      <w:hyperlink r:id="rId10" w:history="1">
        <w:r w:rsidRPr="0081530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302">
        <w:rPr>
          <w:rFonts w:ascii="Times New Roman" w:hAnsi="Times New Roman" w:cs="Times New Roman"/>
          <w:sz w:val="28"/>
          <w:szCs w:val="28"/>
        </w:rPr>
        <w:t xml:space="preserve">Молодое поколение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5302">
        <w:rPr>
          <w:rFonts w:ascii="Times New Roman" w:hAnsi="Times New Roman" w:cs="Times New Roman"/>
          <w:sz w:val="28"/>
          <w:szCs w:val="28"/>
        </w:rPr>
        <w:t>на 2019 -</w:t>
      </w:r>
      <w:r>
        <w:rPr>
          <w:rFonts w:ascii="Times New Roman" w:hAnsi="Times New Roman" w:cs="Times New Roman"/>
          <w:sz w:val="28"/>
          <w:szCs w:val="28"/>
        </w:rPr>
        <w:t xml:space="preserve"> 2021 годы», утвержденной постановлением администрации Ханты-Мансийского района от 12.11.2018 N 329, на текущий финансовый год; средства работодателей; иные внебюджетные источники.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некорректность формулировки в части источника выплаты заработной платы, а именно:     за счет средств, предусмотренных муниципальной </w:t>
      </w:r>
      <w:hyperlink r:id="rId11" w:history="1">
        <w:r w:rsidRPr="00815302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5302">
        <w:rPr>
          <w:rFonts w:ascii="Times New Roman" w:hAnsi="Times New Roman" w:cs="Times New Roman"/>
          <w:sz w:val="28"/>
          <w:szCs w:val="28"/>
        </w:rPr>
        <w:t>Молодое поколение Ханты-Мансийского района на 2019 -</w:t>
      </w:r>
      <w:r>
        <w:rPr>
          <w:rFonts w:ascii="Times New Roman" w:hAnsi="Times New Roman" w:cs="Times New Roman"/>
          <w:sz w:val="28"/>
          <w:szCs w:val="28"/>
        </w:rPr>
        <w:t xml:space="preserve"> 2021 годы», утвержденной постановлением администрации Ханты-Мансийского района от 12.11.2018 N 329, по причине того, что финансовое обеспечение реализации мероприятия 5.4.1. предусмотрено муниципальной программой «Развитие образования </w:t>
      </w:r>
      <w:r w:rsidRPr="001E5135">
        <w:rPr>
          <w:rFonts w:ascii="Times New Roman" w:hAnsi="Times New Roman" w:cs="Times New Roman"/>
          <w:sz w:val="28"/>
          <w:szCs w:val="28"/>
        </w:rPr>
        <w:t>в Ханты-Мансийском районе на 2019-2023 годы»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</w:t>
      </w:r>
      <w:r w:rsidRPr="001E5135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E5135">
        <w:rPr>
          <w:rFonts w:ascii="Times New Roman" w:hAnsi="Times New Roman" w:cs="Times New Roman"/>
          <w:sz w:val="28"/>
          <w:szCs w:val="28"/>
        </w:rPr>
        <w:t>2018 № 333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настоятельно рекомендуем рассмотреть вопрос  отмены</w:t>
      </w:r>
      <w:r w:rsidRPr="00103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7429C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9C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429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429CB">
        <w:rPr>
          <w:rFonts w:ascii="Times New Roman" w:hAnsi="Times New Roman" w:cs="Times New Roman"/>
          <w:sz w:val="28"/>
          <w:szCs w:val="28"/>
        </w:rPr>
        <w:t xml:space="preserve"> «О  внесении изменений в постановление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429CB">
        <w:rPr>
          <w:rFonts w:ascii="Times New Roman" w:hAnsi="Times New Roman" w:cs="Times New Roman"/>
          <w:sz w:val="28"/>
          <w:szCs w:val="28"/>
        </w:rPr>
        <w:t>Ханты-Мансийского района от 12 ноября 2018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429CB">
        <w:rPr>
          <w:rFonts w:ascii="Times New Roman" w:hAnsi="Times New Roman" w:cs="Times New Roman"/>
          <w:sz w:val="28"/>
          <w:szCs w:val="28"/>
        </w:rPr>
        <w:t>№ 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CB">
        <w:rPr>
          <w:rFonts w:ascii="Times New Roman" w:hAnsi="Times New Roman" w:cs="Times New Roman"/>
          <w:sz w:val="28"/>
          <w:szCs w:val="28"/>
        </w:rPr>
        <w:t>«О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грамме Ханты-Мансийского района </w:t>
      </w:r>
      <w:r w:rsidRPr="007429CB">
        <w:rPr>
          <w:rFonts w:ascii="Times New Roman" w:hAnsi="Times New Roman" w:cs="Times New Roman"/>
          <w:sz w:val="28"/>
          <w:szCs w:val="28"/>
        </w:rPr>
        <w:t>«Молодое поколение Ханты-Мансийского района на 2019 – 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C8" w:rsidRDefault="004952C8" w:rsidP="004952C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финансовое обеспечение реализации мероприятия </w:t>
      </w:r>
      <w:r w:rsidRPr="00E509AC">
        <w:rPr>
          <w:rFonts w:ascii="Times New Roman" w:hAnsi="Times New Roman" w:cs="Times New Roman"/>
          <w:sz w:val="28"/>
          <w:szCs w:val="28"/>
        </w:rPr>
        <w:t>«5.4.1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509AC">
        <w:rPr>
          <w:rFonts w:ascii="Times New Roman" w:hAnsi="Times New Roman" w:cs="Times New Roman"/>
          <w:sz w:val="28"/>
          <w:szCs w:val="28"/>
        </w:rPr>
        <w:t>Организация экологических трудовых отрядов»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только за счет средств бюджета Ханты-Мансийского района.</w:t>
      </w:r>
    </w:p>
    <w:p w:rsidR="004952C8" w:rsidRPr="001139AD" w:rsidRDefault="004952C8" w:rsidP="004952C8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Положением определено, что одной из основных задач трудовых экологических отрядов является создание временных рабочих мест для несовершеннолетних, что в силу Закона Российской Федерации                              от 19.04.1991 № 1032-1 «О занятости населения в Российской Федерации»  является полномочием </w:t>
      </w:r>
      <w:r w:rsidRPr="002E7588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в области содействия занятости населения</w:t>
      </w:r>
      <w:r>
        <w:rPr>
          <w:rFonts w:ascii="Times New Roman" w:hAnsi="Times New Roman" w:cs="Times New Roman"/>
          <w:sz w:val="28"/>
          <w:szCs w:val="28"/>
        </w:rPr>
        <w:t>,                        а именно</w:t>
      </w:r>
      <w:r w:rsidRPr="002E758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2E7588">
          <w:rPr>
            <w:rFonts w:ascii="Times New Roman" w:hAnsi="Times New Roman" w:cs="Times New Roman"/>
            <w:sz w:val="28"/>
            <w:szCs w:val="28"/>
          </w:rPr>
          <w:t>организация</w:t>
        </w:r>
      </w:hyperlink>
      <w:r w:rsidRPr="002E7588">
        <w:rPr>
          <w:rFonts w:ascii="Times New Roman" w:hAnsi="Times New Roman" w:cs="Times New Roman"/>
          <w:sz w:val="28"/>
          <w:szCs w:val="28"/>
        </w:rPr>
        <w:t xml:space="preserve"> временного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трудоустройства несовершеннолетних граждан в возрасте от 14 до 18 лет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4952C8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 Ханты-Мансийского района принято решение (от 13.05.2021 № 728) о реализации права на участие администрации Ханты-Мансийского района в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полномочий, не переданных органам местного самоуправления Ханты-Мансийского района в установленном порядке,               в части организации и финансирования временного трудоустройства несовершеннолетних в возрасте от 14 до 18 лет в свободное от учебы время, безработных граждан, в возрасте от 18 до 20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и ищущих работу впервые. В этой связи, администрации Ханты-Мансийского района необходимо предусмотреть расходы на осуществление полномочий и определить орган администрации Ханты-Мансийского района, уполномоченный                            на осуществление данных полномочий, с соответствующим принятием муниципальных правовых актов, регламентирующих порядок осуществления полномочий.</w:t>
      </w:r>
    </w:p>
    <w:p w:rsidR="004952C8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10.05.2007 № 117-п утверждено </w:t>
      </w:r>
      <w:hyperlink r:id="rId13" w:history="1">
        <w:r w:rsidRPr="004D33F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3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3F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организации деятельности молодежных трудовых отрядов                              на территории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которым определено, что молодежные трудовые отряды формируются органами местного самоуправления муниципальных образований                                    </w:t>
      </w:r>
      <w:r w:rsidRPr="004D33F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3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3F2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D33F2">
        <w:rPr>
          <w:rFonts w:ascii="Times New Roman" w:hAnsi="Times New Roman" w:cs="Times New Roman"/>
          <w:sz w:val="28"/>
          <w:szCs w:val="28"/>
        </w:rPr>
        <w:t xml:space="preserve">, курирующими вопросы </w:t>
      </w:r>
      <w:proofErr w:type="spellStart"/>
      <w:r w:rsidRPr="004D33F2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4D33F2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2C8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внимание, что виды работ, разрешенные к выполнению гражданами в возрасте от 14 до 18 лет                       в рамках постановления администрации Ханты-Мансийского района                   от 21.03.2019 № 82 не соответствуют целям создания трудовых экологических отрядов, которые формируются для выполнения работ                 </w:t>
      </w:r>
      <w:r w:rsidRPr="00BC36DD">
        <w:rPr>
          <w:rFonts w:ascii="Times New Roman" w:hAnsi="Times New Roman" w:cs="Times New Roman"/>
          <w:b/>
          <w:sz w:val="28"/>
          <w:szCs w:val="28"/>
        </w:rPr>
        <w:t>по благоустройству территорий сельских поселений</w:t>
      </w:r>
      <w:r>
        <w:rPr>
          <w:rFonts w:ascii="Times New Roman" w:hAnsi="Times New Roman" w:cs="Times New Roman"/>
          <w:sz w:val="28"/>
          <w:szCs w:val="28"/>
        </w:rPr>
        <w:t>, вправе привлекаться организациями всех форм собственности для выполнения соответствующих работ при условии, что характер выполняемых 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учитывает специфику труда несовершеннолетних и не противоречит действующему законодательству.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Перечнем работ предусмотрены следующие виды работ                        - м</w:t>
      </w:r>
      <w:r w:rsidRPr="00BC36DD">
        <w:rPr>
          <w:rFonts w:ascii="Times New Roman" w:hAnsi="Times New Roman" w:cs="Times New Roman"/>
          <w:sz w:val="28"/>
          <w:szCs w:val="28"/>
        </w:rPr>
        <w:t xml:space="preserve">елкий текущий ремонт и благоустройство на объектах работодателя (мытье стен, окон, стульев, уборка прилегающих </w:t>
      </w:r>
      <w:r>
        <w:rPr>
          <w:rFonts w:ascii="Times New Roman" w:hAnsi="Times New Roman" w:cs="Times New Roman"/>
          <w:sz w:val="28"/>
          <w:szCs w:val="28"/>
        </w:rPr>
        <w:t>участков, мелкий ремонт мебели), с</w:t>
      </w:r>
      <w:r w:rsidRPr="00BC36DD">
        <w:rPr>
          <w:rFonts w:ascii="Times New Roman" w:hAnsi="Times New Roman" w:cs="Times New Roman"/>
          <w:sz w:val="28"/>
          <w:szCs w:val="28"/>
        </w:rPr>
        <w:t>ортировка архива документации работодателя, ру</w:t>
      </w:r>
      <w:r>
        <w:rPr>
          <w:rFonts w:ascii="Times New Roman" w:hAnsi="Times New Roman" w:cs="Times New Roman"/>
          <w:sz w:val="28"/>
          <w:szCs w:val="28"/>
        </w:rPr>
        <w:t>чные переплетные работы, ра</w:t>
      </w:r>
      <w:r w:rsidRPr="00BC36DD">
        <w:rPr>
          <w:rFonts w:ascii="Times New Roman" w:hAnsi="Times New Roman" w:cs="Times New Roman"/>
          <w:sz w:val="28"/>
          <w:szCs w:val="28"/>
        </w:rPr>
        <w:t>склейка рекламных объявлений, распространение печатной продукции, доставка делов</w:t>
      </w:r>
      <w:r>
        <w:rPr>
          <w:rFonts w:ascii="Times New Roman" w:hAnsi="Times New Roman" w:cs="Times New Roman"/>
          <w:sz w:val="28"/>
          <w:szCs w:val="28"/>
        </w:rPr>
        <w:t>ой корреспонденции работодателя, р</w:t>
      </w:r>
      <w:r w:rsidRPr="00BC36DD">
        <w:rPr>
          <w:rFonts w:ascii="Times New Roman" w:hAnsi="Times New Roman" w:cs="Times New Roman"/>
          <w:sz w:val="28"/>
          <w:szCs w:val="28"/>
        </w:rPr>
        <w:t>абота в качестве оператора ПЭВМ, делопроизводство (набор текстов, оформл</w:t>
      </w:r>
      <w:r>
        <w:rPr>
          <w:rFonts w:ascii="Times New Roman" w:hAnsi="Times New Roman" w:cs="Times New Roman"/>
          <w:sz w:val="28"/>
          <w:szCs w:val="28"/>
        </w:rPr>
        <w:t>ение документации работодателя), у</w:t>
      </w:r>
      <w:r w:rsidRPr="00BC36DD">
        <w:rPr>
          <w:rFonts w:ascii="Times New Roman" w:hAnsi="Times New Roman" w:cs="Times New Roman"/>
          <w:sz w:val="28"/>
          <w:szCs w:val="28"/>
        </w:rPr>
        <w:t>борка служебных помещений работодателя (без вредных условий</w:t>
      </w:r>
      <w:proofErr w:type="gramEnd"/>
      <w:r w:rsidRPr="00BC36DD">
        <w:rPr>
          <w:rFonts w:ascii="Times New Roman" w:hAnsi="Times New Roman" w:cs="Times New Roman"/>
          <w:sz w:val="28"/>
          <w:szCs w:val="28"/>
        </w:rPr>
        <w:t xml:space="preserve"> труда и бе</w:t>
      </w:r>
      <w:r>
        <w:rPr>
          <w:rFonts w:ascii="Times New Roman" w:hAnsi="Times New Roman" w:cs="Times New Roman"/>
          <w:sz w:val="28"/>
          <w:szCs w:val="28"/>
        </w:rPr>
        <w:t>з уборки общественных туалетов), р</w:t>
      </w:r>
      <w:r w:rsidRPr="00BC36DD">
        <w:rPr>
          <w:rFonts w:ascii="Times New Roman" w:hAnsi="Times New Roman" w:cs="Times New Roman"/>
          <w:sz w:val="28"/>
          <w:szCs w:val="28"/>
        </w:rPr>
        <w:t xml:space="preserve">емонт театральных костюмов </w:t>
      </w:r>
      <w:r>
        <w:rPr>
          <w:rFonts w:ascii="Times New Roman" w:hAnsi="Times New Roman" w:cs="Times New Roman"/>
          <w:sz w:val="28"/>
          <w:szCs w:val="28"/>
        </w:rPr>
        <w:t>для участников самодеятельности, и</w:t>
      </w:r>
      <w:r w:rsidRPr="00BC36DD">
        <w:rPr>
          <w:rFonts w:ascii="Times New Roman" w:hAnsi="Times New Roman" w:cs="Times New Roman"/>
          <w:sz w:val="28"/>
          <w:szCs w:val="28"/>
        </w:rPr>
        <w:t>зготовление театрального реквизита, пред</w:t>
      </w:r>
      <w:r>
        <w:rPr>
          <w:rFonts w:ascii="Times New Roman" w:hAnsi="Times New Roman" w:cs="Times New Roman"/>
          <w:sz w:val="28"/>
          <w:szCs w:val="28"/>
        </w:rPr>
        <w:t>метов декора и оформления сцены, п</w:t>
      </w:r>
      <w:r w:rsidRPr="00BC36DD">
        <w:rPr>
          <w:rFonts w:ascii="Times New Roman" w:hAnsi="Times New Roman" w:cs="Times New Roman"/>
          <w:sz w:val="28"/>
          <w:szCs w:val="28"/>
        </w:rPr>
        <w:t xml:space="preserve">одсобная работа в летних лагерях, дошкольных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и медицинских учреждениях, п</w:t>
      </w:r>
      <w:r w:rsidRPr="00BC36DD">
        <w:rPr>
          <w:rFonts w:ascii="Times New Roman" w:hAnsi="Times New Roman" w:cs="Times New Roman"/>
          <w:sz w:val="28"/>
          <w:szCs w:val="28"/>
        </w:rPr>
        <w:t xml:space="preserve">одготовка и </w:t>
      </w:r>
      <w:r>
        <w:rPr>
          <w:rFonts w:ascii="Times New Roman" w:hAnsi="Times New Roman" w:cs="Times New Roman"/>
          <w:sz w:val="28"/>
          <w:szCs w:val="28"/>
        </w:rPr>
        <w:t>проведение массовых мероприятий, о</w:t>
      </w:r>
      <w:r w:rsidRPr="00BC36DD">
        <w:rPr>
          <w:rFonts w:ascii="Times New Roman" w:hAnsi="Times New Roman" w:cs="Times New Roman"/>
          <w:sz w:val="28"/>
          <w:szCs w:val="28"/>
        </w:rPr>
        <w:t xml:space="preserve">казание посильной бытовой помощи социально </w:t>
      </w:r>
      <w:r w:rsidRPr="00BC36DD">
        <w:rPr>
          <w:rFonts w:ascii="Times New Roman" w:hAnsi="Times New Roman" w:cs="Times New Roman"/>
          <w:sz w:val="28"/>
          <w:szCs w:val="28"/>
        </w:rPr>
        <w:lastRenderedPageBreak/>
        <w:t>незащищенным категориям населения (пенсионерам, ветеранам, одиноко проживающим престарелым гражданам).</w:t>
      </w:r>
    </w:p>
    <w:p w:rsidR="004952C8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вышеизложенное, предлагаем упорядочить механизм трудоустройства несовершеннолетних граждан                                 Ханты-Мансийского района в возрасте от 14 до 18 лет, с учетом постановления Правительства Ханты-Мансийского автономного округа     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10.05.2007 № 117-п «Об организации деятельности молодежных трудовых отрядов».</w:t>
      </w:r>
    </w:p>
    <w:p w:rsidR="004952C8" w:rsidRPr="007F0DAD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необходимо рассмотреть вопрос о корректности достижения целевого показателя 16. «</w:t>
      </w:r>
      <w:r w:rsidRPr="00F268F6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нность обучающихся, вовлеченных </w:t>
      </w:r>
      <w:r w:rsidRPr="00F268F6">
        <w:rPr>
          <w:rFonts w:ascii="Times New Roman" w:hAnsi="Times New Roman" w:cs="Times New Roman"/>
          <w:sz w:val="28"/>
          <w:szCs w:val="28"/>
        </w:rPr>
        <w:t>в деятельность общественных объединений на базе общеобразовательных организаций,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ных образовательных организаций </w:t>
      </w:r>
      <w:r w:rsidRPr="00F268F6">
        <w:rPr>
          <w:rFonts w:ascii="Times New Roman" w:hAnsi="Times New Roman" w:cs="Times New Roman"/>
          <w:sz w:val="28"/>
          <w:szCs w:val="28"/>
        </w:rPr>
        <w:t>и образовательных организаций высшего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68F6">
        <w:rPr>
          <w:rFonts w:ascii="Times New Roman" w:hAnsi="Times New Roman" w:cs="Times New Roman"/>
          <w:sz w:val="28"/>
          <w:szCs w:val="28"/>
        </w:rPr>
        <w:t xml:space="preserve">, </w:t>
      </w:r>
      <w:r w:rsidRPr="007F0DA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7F0D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DA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F0DAD">
        <w:rPr>
          <w:rFonts w:ascii="Times New Roman" w:hAnsi="Times New Roman" w:cs="Times New Roman"/>
          <w:sz w:val="28"/>
          <w:szCs w:val="28"/>
        </w:rPr>
        <w:t>акопительным итогом»» при реализации мероприятия 5.4.1.</w:t>
      </w:r>
    </w:p>
    <w:p w:rsidR="004952C8" w:rsidRPr="007F0DAD" w:rsidRDefault="004952C8" w:rsidP="004952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2C8" w:rsidRPr="007F0DAD" w:rsidRDefault="004952C8" w:rsidP="004952C8">
      <w:pPr>
        <w:pStyle w:val="af0"/>
        <w:ind w:firstLine="708"/>
        <w:jc w:val="both"/>
        <w:rPr>
          <w:szCs w:val="28"/>
        </w:rPr>
      </w:pPr>
      <w:r w:rsidRPr="007F0DAD">
        <w:rPr>
          <w:szCs w:val="28"/>
        </w:rPr>
        <w:t xml:space="preserve">В рамках экспертно-аналитического мероприятия установлено,                    что приказом Комитета по образованию администрации                                   Ханты-Мансийского района от 30.12.2020 № 06-Пр-762-О  утверждено муниципальное задание на 2021 год и плановый период 2022 и 2023 годов (размещено на официальном сайте </w:t>
      </w:r>
      <w:proofErr w:type="spellStart"/>
      <w:r w:rsidRPr="007F0DAD">
        <w:rPr>
          <w:szCs w:val="28"/>
        </w:rPr>
        <w:t>bus.gov.ru</w:t>
      </w:r>
      <w:proofErr w:type="spellEnd"/>
      <w:r w:rsidRPr="007F0DAD">
        <w:rPr>
          <w:szCs w:val="28"/>
        </w:rPr>
        <w:t>) для дошкольных образовательных учреждений. Муниципальными заданиями предусмотрено оказание услуги «Реализация основных общеобразовательных программ дошкольного образования» в 2021 году                   и плановом периоде 2022 и 2023 годов.</w:t>
      </w:r>
    </w:p>
    <w:p w:rsidR="004952C8" w:rsidRPr="007F0DAD" w:rsidRDefault="004952C8" w:rsidP="00495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DAD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F0D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0DAD">
        <w:rPr>
          <w:rFonts w:ascii="Times New Roman" w:hAnsi="Times New Roman" w:cs="Times New Roman"/>
          <w:sz w:val="28"/>
          <w:szCs w:val="28"/>
        </w:rPr>
        <w:t xml:space="preserve"> муниципальная услуга «Присмотр и уход», предусмотренная уставной деятельностью, а также «Общероссийским базовым (отраслевым) перечнем (классификатором) государственных                                                и муниципальных услуг, оказываемых физическим лицам» по виду деятельности «Дошкольное образование», в муниципальных заданиях отсутствует, что является недопустимым.</w:t>
      </w:r>
    </w:p>
    <w:p w:rsidR="004952C8" w:rsidRPr="007F0DAD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AD">
        <w:rPr>
          <w:rFonts w:ascii="Times New Roman" w:eastAsia="Calibri" w:hAnsi="Times New Roman" w:cs="Times New Roman"/>
          <w:sz w:val="28"/>
          <w:szCs w:val="28"/>
        </w:rPr>
        <w:t xml:space="preserve">Пунктом 34 статьи 2 Федерального закона </w:t>
      </w:r>
      <w:r w:rsidRPr="007F0DAD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7F0DAD">
        <w:rPr>
          <w:rFonts w:ascii="Times New Roman" w:eastAsia="Calibri" w:hAnsi="Times New Roman" w:cs="Times New Roman"/>
          <w:sz w:val="28"/>
          <w:szCs w:val="28"/>
        </w:rPr>
        <w:t>№ 273-ФЗ</w:t>
      </w:r>
      <w:r w:rsidRPr="007F0DAD">
        <w:rPr>
          <w:rFonts w:ascii="Times New Roman" w:hAnsi="Times New Roman" w:cs="Times New Roman"/>
          <w:sz w:val="28"/>
          <w:szCs w:val="28"/>
        </w:rPr>
        <w:t xml:space="preserve">  «Об образовании в Российской Федерации» </w:t>
      </w:r>
      <w:r w:rsidRPr="007F0DAD">
        <w:rPr>
          <w:rFonts w:ascii="Times New Roman" w:eastAsia="Calibri" w:hAnsi="Times New Roman" w:cs="Times New Roman"/>
          <w:sz w:val="28"/>
          <w:szCs w:val="28"/>
        </w:rPr>
        <w:t xml:space="preserve"> (далее – 273-ФЗ) определено, что присмотр и уход за детьми - комплекс мер по организации питания                    и хозяйственно-бытового обслуживания детей, обеспечению ими личной гигиены и режима дня.</w:t>
      </w:r>
    </w:p>
    <w:p w:rsidR="004952C8" w:rsidRPr="007F0DAD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AD">
        <w:rPr>
          <w:rFonts w:ascii="Times New Roman" w:eastAsia="Calibri" w:hAnsi="Times New Roman" w:cs="Times New Roman"/>
          <w:sz w:val="28"/>
          <w:szCs w:val="28"/>
        </w:rPr>
        <w:t>Статьей 2 Федерального закона № 273-ФЗ определено,                                  что федеральный государственный образовательный стандарт                                 - это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                       и нормативно-правовому регулированию в сфере образования.</w:t>
      </w:r>
    </w:p>
    <w:p w:rsidR="004952C8" w:rsidRPr="007F0DAD" w:rsidRDefault="004952C8" w:rsidP="004952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AD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утвержден </w:t>
      </w:r>
      <w:proofErr w:type="spellStart"/>
      <w:r w:rsidRPr="007F0DA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F0DAD">
        <w:rPr>
          <w:rFonts w:ascii="Times New Roman" w:eastAsia="Calibri" w:hAnsi="Times New Roman" w:cs="Times New Roman"/>
          <w:sz w:val="28"/>
          <w:szCs w:val="28"/>
        </w:rPr>
        <w:t xml:space="preserve"> России от 17.10.2013 </w:t>
      </w:r>
      <w:r w:rsidRPr="007F0DAD">
        <w:rPr>
          <w:rFonts w:ascii="Times New Roman" w:eastAsia="Calibri" w:hAnsi="Times New Roman" w:cs="Times New Roman"/>
          <w:sz w:val="28"/>
          <w:szCs w:val="28"/>
        </w:rPr>
        <w:lastRenderedPageBreak/>
        <w:t>№ 1055 (далее – ФГОС). Согласно положениям ФГОС, дошкольное образование не может осуществляться без оказания услуг по присмотру                  и уходу за детьми – это обязательная составляющая дошкольного образования, без которой образование детей невозможно, так как даже                в случае краткосрочного пребывания детей требуется их содержание                   в дошкольной образовательной организации.</w:t>
      </w:r>
    </w:p>
    <w:p w:rsidR="004952C8" w:rsidRPr="007F0DAD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AD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7F0DA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F0DAD">
        <w:rPr>
          <w:rFonts w:ascii="Times New Roman" w:hAnsi="Times New Roman" w:cs="Times New Roman"/>
          <w:sz w:val="28"/>
          <w:szCs w:val="28"/>
        </w:rPr>
        <w:t xml:space="preserve"> РФ от 20.11.2018 № 235 утверждены </w:t>
      </w:r>
      <w:r w:rsidRPr="007F0DAD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Pr="007F0DAD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                    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</w:t>
      </w:r>
      <w:proofErr w:type="gramEnd"/>
      <w:r w:rsidRPr="007F0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DAD">
        <w:rPr>
          <w:rFonts w:ascii="Times New Roman" w:hAnsi="Times New Roman" w:cs="Times New Roman"/>
          <w:sz w:val="28"/>
          <w:szCs w:val="28"/>
        </w:rPr>
        <w:t>на оказание государственных (муниципальных) услуг (выполнение работ) государственным (муниципальным) учреждением (далее – Общие требования).</w:t>
      </w:r>
      <w:proofErr w:type="gramEnd"/>
    </w:p>
    <w:p w:rsidR="004952C8" w:rsidRPr="007F0DAD" w:rsidRDefault="004952C8" w:rsidP="00495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DAD">
        <w:rPr>
          <w:rFonts w:ascii="Times New Roman" w:hAnsi="Times New Roman" w:cs="Times New Roman"/>
          <w:sz w:val="28"/>
          <w:szCs w:val="28"/>
        </w:rPr>
        <w:t>Общими требованиями определено, что при расчете финансового обеспечения выполнения государственного (муниципального) задания государственным и муниципальным организациям, реализующим образовательные программы дошкольного образования, нормативные затраты на оказание государственных (муниципальных) услуг                              по реализации основных общеобразовательных программ дошкольного образования не включают в себя нормативные затраты на оказание государственных (муниципальных) услуг по присмотру и уходу за детьми (подпункт 4.4. пункта 4).</w:t>
      </w:r>
      <w:proofErr w:type="gramEnd"/>
    </w:p>
    <w:p w:rsidR="004952C8" w:rsidRPr="006C209B" w:rsidRDefault="004952C8" w:rsidP="004952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09B">
        <w:rPr>
          <w:rFonts w:ascii="Times New Roman" w:hAnsi="Times New Roman" w:cs="Times New Roman"/>
          <w:sz w:val="28"/>
          <w:szCs w:val="28"/>
        </w:rPr>
        <w:t>Кроме этого, в нарушение статьи 32 Федерального закона                               от 12.01.1996 № 7-ФЗ «О некоммерческих организациях», приказа Минфина РФ от 21.07.2011 № 86н «Об утверждении порядка предоставления информации государственным (муниципальным) учреждением, ее размещение на официальном сайте в сети интернет                          и ведения указанного сайта», пункта 2.9. Требований Казначейства России от 26.12.2016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09B">
        <w:rPr>
          <w:rFonts w:ascii="Times New Roman" w:hAnsi="Times New Roman" w:cs="Times New Roman"/>
          <w:sz w:val="28"/>
          <w:szCs w:val="28"/>
        </w:rPr>
        <w:t xml:space="preserve"> дошкольными образовательными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209B">
        <w:rPr>
          <w:rFonts w:ascii="Times New Roman" w:hAnsi="Times New Roman" w:cs="Times New Roman"/>
          <w:sz w:val="28"/>
          <w:szCs w:val="28"/>
        </w:rPr>
        <w:t>Ханты-Мансийского района не соблюдены сроки размещения муниципального задания на 2021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209B">
        <w:rPr>
          <w:rFonts w:ascii="Times New Roman" w:hAnsi="Times New Roman" w:cs="Times New Roman"/>
          <w:sz w:val="28"/>
          <w:szCs w:val="28"/>
        </w:rPr>
        <w:t xml:space="preserve"> 2022 и 2023 годов на официальном сайте </w:t>
      </w:r>
      <w:hyperlink r:id="rId14" w:history="1">
        <w:r w:rsidRPr="006C209B">
          <w:rPr>
            <w:rStyle w:val="af"/>
            <w:szCs w:val="28"/>
          </w:rPr>
          <w:t>www.bus.gov.ru</w:t>
        </w:r>
      </w:hyperlink>
      <w:r>
        <w:rPr>
          <w:rFonts w:ascii="Times New Roman" w:hAnsi="Times New Roman" w:cs="Times New Roman"/>
          <w:sz w:val="28"/>
          <w:szCs w:val="28"/>
        </w:rPr>
        <w:t>, что образует состав административного правонарушения.</w:t>
      </w:r>
    </w:p>
    <w:p w:rsidR="004952C8" w:rsidRPr="00DD339F" w:rsidRDefault="004952C8" w:rsidP="004952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4952C8" w:rsidRPr="006A7C72" w:rsidRDefault="004952C8" w:rsidP="004952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339F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sectPr w:rsidR="004952C8" w:rsidRPr="006A7C72" w:rsidSect="00391496">
      <w:footerReference w:type="default" r:id="rId15"/>
      <w:pgSz w:w="11906" w:h="16838"/>
      <w:pgMar w:top="1418" w:right="1276" w:bottom="993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9B" w:rsidRDefault="005A4B9B" w:rsidP="00617B40">
      <w:pPr>
        <w:spacing w:after="0" w:line="240" w:lineRule="auto"/>
      </w:pPr>
      <w:r>
        <w:separator/>
      </w:r>
    </w:p>
  </w:endnote>
  <w:end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5A4B9B" w:rsidRDefault="00B44400">
        <w:pPr>
          <w:pStyle w:val="a8"/>
          <w:jc w:val="right"/>
        </w:pPr>
        <w:r>
          <w:fldChar w:fldCharType="begin"/>
        </w:r>
        <w:r w:rsidR="00AA7491">
          <w:instrText>PAGE   \* MERGEFORMAT</w:instrText>
        </w:r>
        <w:r>
          <w:fldChar w:fldCharType="separate"/>
        </w:r>
        <w:r w:rsidR="009E5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4B9B" w:rsidRDefault="005A4B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9B" w:rsidRDefault="005A4B9B" w:rsidP="00617B40">
      <w:pPr>
        <w:spacing w:after="0" w:line="240" w:lineRule="auto"/>
      </w:pPr>
      <w:r>
        <w:separator/>
      </w:r>
    </w:p>
  </w:footnote>
  <w:footnote w:type="continuationSeparator" w:id="0">
    <w:p w:rsidR="005A4B9B" w:rsidRDefault="005A4B9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removePersonalInformation/>
  <w:removeDateAndTime/>
  <w:proofState w:spelling="clean" w:grammar="clean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3B22"/>
    <w:rsid w:val="00016FC0"/>
    <w:rsid w:val="00020559"/>
    <w:rsid w:val="00031529"/>
    <w:rsid w:val="00031B99"/>
    <w:rsid w:val="00037E04"/>
    <w:rsid w:val="0004263C"/>
    <w:rsid w:val="00050CA9"/>
    <w:rsid w:val="000553F6"/>
    <w:rsid w:val="000564E5"/>
    <w:rsid w:val="000568D7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4D41"/>
    <w:rsid w:val="000F00EB"/>
    <w:rsid w:val="000F17B1"/>
    <w:rsid w:val="000F242D"/>
    <w:rsid w:val="000F40DD"/>
    <w:rsid w:val="000F5153"/>
    <w:rsid w:val="000F5D0C"/>
    <w:rsid w:val="000F7FB3"/>
    <w:rsid w:val="0010153E"/>
    <w:rsid w:val="00104154"/>
    <w:rsid w:val="0010564B"/>
    <w:rsid w:val="00113D3B"/>
    <w:rsid w:val="00114052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C86"/>
    <w:rsid w:val="001C4EFF"/>
    <w:rsid w:val="001C5C3F"/>
    <w:rsid w:val="001C6006"/>
    <w:rsid w:val="001D20DB"/>
    <w:rsid w:val="001D67CB"/>
    <w:rsid w:val="001E01C2"/>
    <w:rsid w:val="001E3D71"/>
    <w:rsid w:val="001E5EB3"/>
    <w:rsid w:val="001F270F"/>
    <w:rsid w:val="001F5435"/>
    <w:rsid w:val="00200E55"/>
    <w:rsid w:val="002027D7"/>
    <w:rsid w:val="00211AF8"/>
    <w:rsid w:val="00212288"/>
    <w:rsid w:val="002122C6"/>
    <w:rsid w:val="002136A6"/>
    <w:rsid w:val="00213FF5"/>
    <w:rsid w:val="00214188"/>
    <w:rsid w:val="002146FC"/>
    <w:rsid w:val="0021693B"/>
    <w:rsid w:val="00225C7D"/>
    <w:rsid w:val="00225D78"/>
    <w:rsid w:val="002300FD"/>
    <w:rsid w:val="00230349"/>
    <w:rsid w:val="002313C0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BA9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2A14"/>
    <w:rsid w:val="002B2C9A"/>
    <w:rsid w:val="002B6F44"/>
    <w:rsid w:val="002D0994"/>
    <w:rsid w:val="002D0AE0"/>
    <w:rsid w:val="002D4BE6"/>
    <w:rsid w:val="002D7B01"/>
    <w:rsid w:val="002E017F"/>
    <w:rsid w:val="002E1E4D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5A69"/>
    <w:rsid w:val="00315E8F"/>
    <w:rsid w:val="0032234F"/>
    <w:rsid w:val="003250F7"/>
    <w:rsid w:val="00325336"/>
    <w:rsid w:val="00327BF7"/>
    <w:rsid w:val="003335B8"/>
    <w:rsid w:val="00334BA2"/>
    <w:rsid w:val="00334C30"/>
    <w:rsid w:val="00343BF0"/>
    <w:rsid w:val="00343FF5"/>
    <w:rsid w:val="00344633"/>
    <w:rsid w:val="00345A10"/>
    <w:rsid w:val="00355369"/>
    <w:rsid w:val="00355A1D"/>
    <w:rsid w:val="0035701C"/>
    <w:rsid w:val="003624D8"/>
    <w:rsid w:val="003626AF"/>
    <w:rsid w:val="00366058"/>
    <w:rsid w:val="00367D33"/>
    <w:rsid w:val="0037199F"/>
    <w:rsid w:val="00373613"/>
    <w:rsid w:val="00373B19"/>
    <w:rsid w:val="0037501D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3CD9"/>
    <w:rsid w:val="00393DAD"/>
    <w:rsid w:val="00397EFC"/>
    <w:rsid w:val="003A4028"/>
    <w:rsid w:val="003A5794"/>
    <w:rsid w:val="003B15FE"/>
    <w:rsid w:val="003B550F"/>
    <w:rsid w:val="003C1A05"/>
    <w:rsid w:val="003D17C8"/>
    <w:rsid w:val="003D2666"/>
    <w:rsid w:val="003D2AB0"/>
    <w:rsid w:val="003D2EFF"/>
    <w:rsid w:val="003D58F4"/>
    <w:rsid w:val="003E21E0"/>
    <w:rsid w:val="003E3E82"/>
    <w:rsid w:val="003E60BE"/>
    <w:rsid w:val="003E763D"/>
    <w:rsid w:val="003F2294"/>
    <w:rsid w:val="003F2416"/>
    <w:rsid w:val="003F3603"/>
    <w:rsid w:val="004004AC"/>
    <w:rsid w:val="004011E8"/>
    <w:rsid w:val="00402158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2070"/>
    <w:rsid w:val="00431272"/>
    <w:rsid w:val="00431470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712E"/>
    <w:rsid w:val="00487897"/>
    <w:rsid w:val="004952C8"/>
    <w:rsid w:val="004A19CA"/>
    <w:rsid w:val="004B20AE"/>
    <w:rsid w:val="004B28BF"/>
    <w:rsid w:val="004B2DFA"/>
    <w:rsid w:val="004C069C"/>
    <w:rsid w:val="004C42F3"/>
    <w:rsid w:val="004C7125"/>
    <w:rsid w:val="004C765F"/>
    <w:rsid w:val="004D09EB"/>
    <w:rsid w:val="004D241C"/>
    <w:rsid w:val="004D4133"/>
    <w:rsid w:val="004D46FE"/>
    <w:rsid w:val="004D6F4C"/>
    <w:rsid w:val="004E250A"/>
    <w:rsid w:val="004E4D2B"/>
    <w:rsid w:val="004E5450"/>
    <w:rsid w:val="004E5E17"/>
    <w:rsid w:val="004F165D"/>
    <w:rsid w:val="004F72DA"/>
    <w:rsid w:val="004F7CDE"/>
    <w:rsid w:val="005004CE"/>
    <w:rsid w:val="00503780"/>
    <w:rsid w:val="00503B7B"/>
    <w:rsid w:val="0050482A"/>
    <w:rsid w:val="00507BE5"/>
    <w:rsid w:val="00507E5B"/>
    <w:rsid w:val="0051470E"/>
    <w:rsid w:val="00514E41"/>
    <w:rsid w:val="00516807"/>
    <w:rsid w:val="00517C0E"/>
    <w:rsid w:val="00522925"/>
    <w:rsid w:val="00522BE8"/>
    <w:rsid w:val="00522E4B"/>
    <w:rsid w:val="005326D1"/>
    <w:rsid w:val="00532CA8"/>
    <w:rsid w:val="005338AF"/>
    <w:rsid w:val="005439BD"/>
    <w:rsid w:val="005447F4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6865"/>
    <w:rsid w:val="00576D7E"/>
    <w:rsid w:val="00580D4D"/>
    <w:rsid w:val="005816CB"/>
    <w:rsid w:val="00582201"/>
    <w:rsid w:val="0058257D"/>
    <w:rsid w:val="005878A5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6889"/>
    <w:rsid w:val="005C693B"/>
    <w:rsid w:val="005C7EF9"/>
    <w:rsid w:val="005D35A8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3CA1"/>
    <w:rsid w:val="006359B7"/>
    <w:rsid w:val="00636F28"/>
    <w:rsid w:val="006420DC"/>
    <w:rsid w:val="0064622F"/>
    <w:rsid w:val="00646C94"/>
    <w:rsid w:val="00655734"/>
    <w:rsid w:val="006563B1"/>
    <w:rsid w:val="00660266"/>
    <w:rsid w:val="0066080A"/>
    <w:rsid w:val="0066101D"/>
    <w:rsid w:val="006615CF"/>
    <w:rsid w:val="00661C40"/>
    <w:rsid w:val="00662CEE"/>
    <w:rsid w:val="006722F9"/>
    <w:rsid w:val="00672460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3E5F"/>
    <w:rsid w:val="006A2308"/>
    <w:rsid w:val="006A3970"/>
    <w:rsid w:val="006A5B30"/>
    <w:rsid w:val="006A6D0C"/>
    <w:rsid w:val="006A7184"/>
    <w:rsid w:val="006B0257"/>
    <w:rsid w:val="006B125D"/>
    <w:rsid w:val="006B1282"/>
    <w:rsid w:val="006B3B10"/>
    <w:rsid w:val="006B43CA"/>
    <w:rsid w:val="006B6B33"/>
    <w:rsid w:val="006C00BE"/>
    <w:rsid w:val="006C2C99"/>
    <w:rsid w:val="006C37AF"/>
    <w:rsid w:val="006C5978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7C8B"/>
    <w:rsid w:val="00720648"/>
    <w:rsid w:val="0072340A"/>
    <w:rsid w:val="00724F3E"/>
    <w:rsid w:val="007343BF"/>
    <w:rsid w:val="00734466"/>
    <w:rsid w:val="007401AE"/>
    <w:rsid w:val="007418C2"/>
    <w:rsid w:val="00741CD5"/>
    <w:rsid w:val="0075013A"/>
    <w:rsid w:val="00754184"/>
    <w:rsid w:val="0075510E"/>
    <w:rsid w:val="00760567"/>
    <w:rsid w:val="00761BB0"/>
    <w:rsid w:val="007622A5"/>
    <w:rsid w:val="0076267C"/>
    <w:rsid w:val="007635E8"/>
    <w:rsid w:val="00765E34"/>
    <w:rsid w:val="0077481C"/>
    <w:rsid w:val="00774C34"/>
    <w:rsid w:val="007765F1"/>
    <w:rsid w:val="00782C13"/>
    <w:rsid w:val="0078658F"/>
    <w:rsid w:val="00787CC0"/>
    <w:rsid w:val="00787F88"/>
    <w:rsid w:val="00792D18"/>
    <w:rsid w:val="00796EEA"/>
    <w:rsid w:val="007A0722"/>
    <w:rsid w:val="007A171A"/>
    <w:rsid w:val="007A1D57"/>
    <w:rsid w:val="007A2970"/>
    <w:rsid w:val="007A6A54"/>
    <w:rsid w:val="007B0EBB"/>
    <w:rsid w:val="007B1666"/>
    <w:rsid w:val="007C04AB"/>
    <w:rsid w:val="007C1C91"/>
    <w:rsid w:val="007C1D35"/>
    <w:rsid w:val="007C3EE8"/>
    <w:rsid w:val="007C424E"/>
    <w:rsid w:val="007C5828"/>
    <w:rsid w:val="007D3923"/>
    <w:rsid w:val="007D3AE0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E91"/>
    <w:rsid w:val="00802ECB"/>
    <w:rsid w:val="00804C1E"/>
    <w:rsid w:val="00805A4C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75DE"/>
    <w:rsid w:val="008412DC"/>
    <w:rsid w:val="008459BB"/>
    <w:rsid w:val="00846AD5"/>
    <w:rsid w:val="00847800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50A9"/>
    <w:rsid w:val="008B096C"/>
    <w:rsid w:val="008B1A55"/>
    <w:rsid w:val="008B71AD"/>
    <w:rsid w:val="008C0AAC"/>
    <w:rsid w:val="008C181D"/>
    <w:rsid w:val="008C2ACB"/>
    <w:rsid w:val="008C5CD4"/>
    <w:rsid w:val="008C6390"/>
    <w:rsid w:val="008D5B11"/>
    <w:rsid w:val="008D6252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3B0D"/>
    <w:rsid w:val="00914879"/>
    <w:rsid w:val="00915E20"/>
    <w:rsid w:val="00925078"/>
    <w:rsid w:val="00925DBE"/>
    <w:rsid w:val="00927695"/>
    <w:rsid w:val="0093197E"/>
    <w:rsid w:val="00933810"/>
    <w:rsid w:val="0094042A"/>
    <w:rsid w:val="00941F4D"/>
    <w:rsid w:val="009427DF"/>
    <w:rsid w:val="0094344C"/>
    <w:rsid w:val="00945172"/>
    <w:rsid w:val="0095307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E251A"/>
    <w:rsid w:val="009E47CB"/>
    <w:rsid w:val="009E55F7"/>
    <w:rsid w:val="009E6596"/>
    <w:rsid w:val="009E6AFD"/>
    <w:rsid w:val="009F0049"/>
    <w:rsid w:val="009F0B3E"/>
    <w:rsid w:val="009F1C31"/>
    <w:rsid w:val="009F2954"/>
    <w:rsid w:val="009F6E20"/>
    <w:rsid w:val="009F6EC2"/>
    <w:rsid w:val="00A0463D"/>
    <w:rsid w:val="00A0547F"/>
    <w:rsid w:val="00A06758"/>
    <w:rsid w:val="00A07436"/>
    <w:rsid w:val="00A14219"/>
    <w:rsid w:val="00A14960"/>
    <w:rsid w:val="00A149BA"/>
    <w:rsid w:val="00A173AC"/>
    <w:rsid w:val="00A223A0"/>
    <w:rsid w:val="00A22E29"/>
    <w:rsid w:val="00A248F9"/>
    <w:rsid w:val="00A259CD"/>
    <w:rsid w:val="00A33D50"/>
    <w:rsid w:val="00A34038"/>
    <w:rsid w:val="00A3554E"/>
    <w:rsid w:val="00A40F2A"/>
    <w:rsid w:val="00A46881"/>
    <w:rsid w:val="00A47BCE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8F0"/>
    <w:rsid w:val="00A74D5D"/>
    <w:rsid w:val="00A760C6"/>
    <w:rsid w:val="00A77187"/>
    <w:rsid w:val="00A8177F"/>
    <w:rsid w:val="00A828C5"/>
    <w:rsid w:val="00A8538C"/>
    <w:rsid w:val="00A8554F"/>
    <w:rsid w:val="00A86EB5"/>
    <w:rsid w:val="00A91D08"/>
    <w:rsid w:val="00A92837"/>
    <w:rsid w:val="00AA3EF0"/>
    <w:rsid w:val="00AA7491"/>
    <w:rsid w:val="00AB20C0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6ACD"/>
    <w:rsid w:val="00AE7705"/>
    <w:rsid w:val="00AF1118"/>
    <w:rsid w:val="00AF1991"/>
    <w:rsid w:val="00AF241E"/>
    <w:rsid w:val="00AF49A6"/>
    <w:rsid w:val="00AF7485"/>
    <w:rsid w:val="00AF7D83"/>
    <w:rsid w:val="00B0009B"/>
    <w:rsid w:val="00B0015C"/>
    <w:rsid w:val="00B06BCD"/>
    <w:rsid w:val="00B06C40"/>
    <w:rsid w:val="00B123B7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1581"/>
    <w:rsid w:val="00B34C62"/>
    <w:rsid w:val="00B35B96"/>
    <w:rsid w:val="00B37127"/>
    <w:rsid w:val="00B374E4"/>
    <w:rsid w:val="00B42C2A"/>
    <w:rsid w:val="00B43D5D"/>
    <w:rsid w:val="00B44400"/>
    <w:rsid w:val="00B4507A"/>
    <w:rsid w:val="00B45166"/>
    <w:rsid w:val="00B453B8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2598"/>
    <w:rsid w:val="00B73BE4"/>
    <w:rsid w:val="00B742A9"/>
    <w:rsid w:val="00B76CD1"/>
    <w:rsid w:val="00B806D8"/>
    <w:rsid w:val="00B80E5F"/>
    <w:rsid w:val="00B81A2D"/>
    <w:rsid w:val="00B853ED"/>
    <w:rsid w:val="00B918E9"/>
    <w:rsid w:val="00B93BED"/>
    <w:rsid w:val="00B94AD6"/>
    <w:rsid w:val="00B94F91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ED"/>
    <w:rsid w:val="00BD23DF"/>
    <w:rsid w:val="00BD449C"/>
    <w:rsid w:val="00BD5F0F"/>
    <w:rsid w:val="00BE2AF4"/>
    <w:rsid w:val="00BE3CCB"/>
    <w:rsid w:val="00BE4D56"/>
    <w:rsid w:val="00BE5454"/>
    <w:rsid w:val="00BE6415"/>
    <w:rsid w:val="00BE712C"/>
    <w:rsid w:val="00BF0F68"/>
    <w:rsid w:val="00BF262A"/>
    <w:rsid w:val="00BF5028"/>
    <w:rsid w:val="00C00242"/>
    <w:rsid w:val="00C002B4"/>
    <w:rsid w:val="00C06239"/>
    <w:rsid w:val="00C07B06"/>
    <w:rsid w:val="00C113EC"/>
    <w:rsid w:val="00C133BE"/>
    <w:rsid w:val="00C16253"/>
    <w:rsid w:val="00C16990"/>
    <w:rsid w:val="00C17E7F"/>
    <w:rsid w:val="00C201C8"/>
    <w:rsid w:val="00C21D1F"/>
    <w:rsid w:val="00C22DBE"/>
    <w:rsid w:val="00C239F1"/>
    <w:rsid w:val="00C306C9"/>
    <w:rsid w:val="00C3590D"/>
    <w:rsid w:val="00C36A32"/>
    <w:rsid w:val="00C36D75"/>
    <w:rsid w:val="00C36F0C"/>
    <w:rsid w:val="00C36F5A"/>
    <w:rsid w:val="00C4059C"/>
    <w:rsid w:val="00C41DA7"/>
    <w:rsid w:val="00C44C78"/>
    <w:rsid w:val="00C45C0B"/>
    <w:rsid w:val="00C461DD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412C"/>
    <w:rsid w:val="00C76DEE"/>
    <w:rsid w:val="00C8014B"/>
    <w:rsid w:val="00C867E7"/>
    <w:rsid w:val="00C92871"/>
    <w:rsid w:val="00C94DD3"/>
    <w:rsid w:val="00C95B1A"/>
    <w:rsid w:val="00C97117"/>
    <w:rsid w:val="00CA0A09"/>
    <w:rsid w:val="00CA2158"/>
    <w:rsid w:val="00CA34A1"/>
    <w:rsid w:val="00CA409F"/>
    <w:rsid w:val="00CA7141"/>
    <w:rsid w:val="00CA7671"/>
    <w:rsid w:val="00CB23C8"/>
    <w:rsid w:val="00CB33E0"/>
    <w:rsid w:val="00CB5F7B"/>
    <w:rsid w:val="00CC131F"/>
    <w:rsid w:val="00CC2616"/>
    <w:rsid w:val="00CC2C15"/>
    <w:rsid w:val="00CC430B"/>
    <w:rsid w:val="00CC707E"/>
    <w:rsid w:val="00CC75FC"/>
    <w:rsid w:val="00CC7C2A"/>
    <w:rsid w:val="00CD5FAA"/>
    <w:rsid w:val="00CD7287"/>
    <w:rsid w:val="00CE4750"/>
    <w:rsid w:val="00CE4CDE"/>
    <w:rsid w:val="00CE5311"/>
    <w:rsid w:val="00CE5950"/>
    <w:rsid w:val="00CE6DF8"/>
    <w:rsid w:val="00CF02D2"/>
    <w:rsid w:val="00CF3794"/>
    <w:rsid w:val="00CF44D0"/>
    <w:rsid w:val="00CF744D"/>
    <w:rsid w:val="00CF78BA"/>
    <w:rsid w:val="00D007DF"/>
    <w:rsid w:val="00D02739"/>
    <w:rsid w:val="00D041E1"/>
    <w:rsid w:val="00D05B52"/>
    <w:rsid w:val="00D12C02"/>
    <w:rsid w:val="00D155CC"/>
    <w:rsid w:val="00D20798"/>
    <w:rsid w:val="00D20948"/>
    <w:rsid w:val="00D213D8"/>
    <w:rsid w:val="00D26095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66E6"/>
    <w:rsid w:val="00D675D8"/>
    <w:rsid w:val="00D768D7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7215"/>
    <w:rsid w:val="00DB032D"/>
    <w:rsid w:val="00DB35CA"/>
    <w:rsid w:val="00DB568D"/>
    <w:rsid w:val="00DB59D9"/>
    <w:rsid w:val="00DB5DB6"/>
    <w:rsid w:val="00DB6986"/>
    <w:rsid w:val="00DB7C04"/>
    <w:rsid w:val="00DC0125"/>
    <w:rsid w:val="00DC0388"/>
    <w:rsid w:val="00DC6B49"/>
    <w:rsid w:val="00DD36E7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6E8"/>
    <w:rsid w:val="00E42CEA"/>
    <w:rsid w:val="00E43F24"/>
    <w:rsid w:val="00E44BF3"/>
    <w:rsid w:val="00E4507D"/>
    <w:rsid w:val="00E505FF"/>
    <w:rsid w:val="00E508F8"/>
    <w:rsid w:val="00E512F8"/>
    <w:rsid w:val="00E516F7"/>
    <w:rsid w:val="00E52D09"/>
    <w:rsid w:val="00E5325B"/>
    <w:rsid w:val="00E55838"/>
    <w:rsid w:val="00E579CE"/>
    <w:rsid w:val="00E57DF8"/>
    <w:rsid w:val="00E624C3"/>
    <w:rsid w:val="00E626AC"/>
    <w:rsid w:val="00E63C17"/>
    <w:rsid w:val="00E63E6B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D01A2"/>
    <w:rsid w:val="00ED123C"/>
    <w:rsid w:val="00ED1F4C"/>
    <w:rsid w:val="00ED7D10"/>
    <w:rsid w:val="00EE7599"/>
    <w:rsid w:val="00EF1ADE"/>
    <w:rsid w:val="00EF1DD9"/>
    <w:rsid w:val="00EF214F"/>
    <w:rsid w:val="00EF3EFF"/>
    <w:rsid w:val="00EF4313"/>
    <w:rsid w:val="00EF4A66"/>
    <w:rsid w:val="00F0716D"/>
    <w:rsid w:val="00F114E8"/>
    <w:rsid w:val="00F11F1B"/>
    <w:rsid w:val="00F123B5"/>
    <w:rsid w:val="00F12434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3B53"/>
    <w:rsid w:val="00F449DF"/>
    <w:rsid w:val="00F516FF"/>
    <w:rsid w:val="00F53011"/>
    <w:rsid w:val="00F546F8"/>
    <w:rsid w:val="00F54F00"/>
    <w:rsid w:val="00F55E37"/>
    <w:rsid w:val="00F60096"/>
    <w:rsid w:val="00F642D8"/>
    <w:rsid w:val="00F645BD"/>
    <w:rsid w:val="00F649E7"/>
    <w:rsid w:val="00F64E07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A94"/>
    <w:rsid w:val="00F84BE9"/>
    <w:rsid w:val="00F94312"/>
    <w:rsid w:val="00F944D4"/>
    <w:rsid w:val="00FA01D7"/>
    <w:rsid w:val="00FA39FB"/>
    <w:rsid w:val="00FA3B52"/>
    <w:rsid w:val="00FA4CF5"/>
    <w:rsid w:val="00FB0092"/>
    <w:rsid w:val="00FB6AC7"/>
    <w:rsid w:val="00FB74BA"/>
    <w:rsid w:val="00FB772D"/>
    <w:rsid w:val="00FB7756"/>
    <w:rsid w:val="00FC0E94"/>
    <w:rsid w:val="00FC12F6"/>
    <w:rsid w:val="00FC3FBE"/>
    <w:rsid w:val="00FC7010"/>
    <w:rsid w:val="00FD0D5F"/>
    <w:rsid w:val="00FD562D"/>
    <w:rsid w:val="00FE367D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4952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952C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5FDBAB107D58CC6403022680AEBE85F2EE29E0D6626F269F724A6804A3773F3F646E49BF837E79100DD3670F36DE60FhAZCM" TargetMode="External"/><Relationship Id="rId13" Type="http://schemas.openxmlformats.org/officeDocument/2006/relationships/hyperlink" Target="consultantplus://offline/ref=B723231B26FD316D7E72FB9B92299E7425847290B587662E57EF57105425D03C23B96E2899562CEFB3021C1E4BFC5E9930390982F8D75646E2A0FA05V1G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74D77EA8315EF9EF3717A74D432889D0FCCB1F5D0878FF848E12F8C8A8C6970776C96584BAC56A57061702F1E3D4D85724F0C626FC0FC0c0z3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24CB808576D0CFACC70A5CB8746DF4A6653DE730C029D46357161BD533D7C7C2565990C9E0F51AA181B1199A5DE65B420086ABB5B4EE45181AC151I0eB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924CB808576D0CFACC70A5CB8746DF4A6653DE730C029D46357161BD533D7C7C2565990C9E0F51AA181B1199A5DE65B420086ABB5B4EE45181AC151I0e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24CB808576D0CFACC70A5CB8746DF4A6653DE733CB2BDA635D161BD533D7C7C2565990C9E0F51AA188B01E9C5DE65B420086ABB5B4EE45181AC151I0eBM" TargetMode="External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7BA7-6132-4857-89F7-68BDA0B7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6448</Words>
  <Characters>36756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2021-04-19T10:23:00Z</dcterms:created>
  <dcterms:modified xsi:type="dcterms:W3CDTF">2021-05-26T05:33:00Z</dcterms:modified>
</cp:coreProperties>
</file>